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31" w:rsidRPr="00D0461E" w:rsidRDefault="006C6731" w:rsidP="00D0461E">
      <w:pPr>
        <w:spacing w:after="0" w:line="240" w:lineRule="auto"/>
        <w:rPr>
          <w:rFonts w:ascii="Arial" w:hAnsi="Arial" w:cs="Arial"/>
          <w:b/>
        </w:rPr>
      </w:pPr>
    </w:p>
    <w:p w:rsidR="00EC573E" w:rsidRDefault="00EC573E" w:rsidP="00EC573E">
      <w:pPr>
        <w:spacing w:after="0" w:line="240" w:lineRule="auto"/>
        <w:rPr>
          <w:rFonts w:ascii="Arial" w:hAnsi="Arial" w:cs="Arial"/>
          <w:b/>
          <w:lang w:val="mn-MN"/>
        </w:rPr>
      </w:pPr>
    </w:p>
    <w:p w:rsidR="00737A56" w:rsidRDefault="00737A56" w:rsidP="00737A56">
      <w:pPr>
        <w:spacing w:after="0" w:line="240" w:lineRule="auto"/>
        <w:jc w:val="center"/>
        <w:rPr>
          <w:rFonts w:ascii="Arial" w:eastAsia="Times New Roman" w:hAnsi="Arial" w:cs="Arial"/>
          <w:lang w:val="mn-MN"/>
        </w:rPr>
      </w:pPr>
    </w:p>
    <w:p w:rsidR="00A826AA" w:rsidRPr="000326A9" w:rsidRDefault="00A826AA" w:rsidP="00A826AA">
      <w:pPr>
        <w:spacing w:after="0" w:line="240" w:lineRule="auto"/>
        <w:jc w:val="center"/>
        <w:rPr>
          <w:rFonts w:ascii="Arial" w:hAnsi="Arial" w:cs="Arial"/>
          <w:lang w:val="mn-MN"/>
        </w:rPr>
      </w:pPr>
      <w:r>
        <w:rPr>
          <w:rFonts w:ascii="Arial" w:eastAsia="Times New Roman" w:hAnsi="Arial" w:cs="Arial"/>
          <w:lang w:val="mn-MN"/>
        </w:rPr>
        <w:t xml:space="preserve">ХУУЛЬ ЗҮЙН САЙДЫН 2015 ОНЫ 06 ДУГААР САРЫН 15-НЫ ӨДРИЙН 1/2328 ДУГААРТАЙ </w:t>
      </w:r>
      <w:r>
        <w:rPr>
          <w:rFonts w:ascii="Arial" w:eastAsia="Times New Roman" w:hAnsi="Arial" w:cs="Arial"/>
        </w:rPr>
        <w:br/>
        <w:t xml:space="preserve"> </w:t>
      </w:r>
      <w:r>
        <w:rPr>
          <w:rFonts w:ascii="Arial" w:eastAsia="Times New Roman" w:hAnsi="Arial" w:cs="Arial"/>
          <w:lang w:val="mn-MN"/>
        </w:rPr>
        <w:t>ЗӨВЛӨМЖ, ЧИГЛЭЛИЙН</w:t>
      </w:r>
      <w:r w:rsidRPr="000326A9">
        <w:rPr>
          <w:rFonts w:ascii="Arial" w:eastAsia="Times New Roman" w:hAnsi="Arial" w:cs="Arial"/>
        </w:rPr>
        <w:t xml:space="preserve"> САНХҮҮ, </w:t>
      </w:r>
      <w:r w:rsidRPr="000326A9">
        <w:rPr>
          <w:rFonts w:ascii="Arial" w:eastAsia="Times New Roman" w:hAnsi="Arial" w:cs="Arial"/>
          <w:lang w:val="mn-MN"/>
        </w:rPr>
        <w:t>ХАНГАМЖИЙН</w:t>
      </w:r>
      <w:r w:rsidRPr="000326A9">
        <w:rPr>
          <w:rFonts w:ascii="Arial" w:eastAsia="Times New Roman" w:hAnsi="Arial" w:cs="Arial"/>
        </w:rPr>
        <w:t xml:space="preserve"> ГАЗАРТ ХОЛБОГДОХ ЗААЛТЫН БИЕЛЭЛТ</w:t>
      </w:r>
      <w:r w:rsidRPr="000326A9">
        <w:rPr>
          <w:rFonts w:ascii="Arial" w:eastAsia="Times New Roman" w:hAnsi="Arial" w:cs="Arial"/>
        </w:rPr>
        <w:br/>
      </w:r>
    </w:p>
    <w:p w:rsidR="00A826AA" w:rsidRPr="000326A9" w:rsidRDefault="00A826AA" w:rsidP="00A826AA">
      <w:pPr>
        <w:spacing w:after="0" w:line="240" w:lineRule="auto"/>
        <w:jc w:val="both"/>
        <w:rPr>
          <w:rFonts w:ascii="Arial" w:hAnsi="Arial" w:cs="Arial"/>
          <w:lang w:val="mn-MN"/>
        </w:rPr>
      </w:pPr>
      <w:r w:rsidRPr="000326A9">
        <w:rPr>
          <w:rFonts w:ascii="Arial" w:hAnsi="Arial" w:cs="Arial"/>
        </w:rPr>
        <w:t>201</w:t>
      </w:r>
      <w:r>
        <w:rPr>
          <w:rFonts w:ascii="Arial" w:hAnsi="Arial" w:cs="Arial"/>
          <w:lang w:val="mn-MN"/>
        </w:rPr>
        <w:t>5.08.20</w:t>
      </w:r>
      <w:r w:rsidRPr="000326A9">
        <w:rPr>
          <w:rFonts w:ascii="Arial" w:hAnsi="Arial" w:cs="Arial"/>
          <w:lang w:val="mn-MN"/>
        </w:rPr>
        <w:t xml:space="preserve"> </w:t>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r>
      <w:r w:rsidRPr="000326A9">
        <w:rPr>
          <w:rFonts w:ascii="Arial" w:hAnsi="Arial" w:cs="Arial"/>
          <w:lang w:val="mn-MN"/>
        </w:rPr>
        <w:tab/>
        <w:t xml:space="preserve">  Улаанбаатар хот</w:t>
      </w:r>
    </w:p>
    <w:p w:rsidR="00A826AA" w:rsidRPr="000326A9" w:rsidRDefault="00A826AA" w:rsidP="00A826AA">
      <w:pPr>
        <w:spacing w:after="0" w:line="240" w:lineRule="auto"/>
        <w:jc w:val="both"/>
        <w:rPr>
          <w:rFonts w:ascii="Arial" w:hAnsi="Arial" w:cs="Arial"/>
          <w:lang w:val="mn-MN"/>
        </w:rPr>
      </w:pPr>
    </w:p>
    <w:tbl>
      <w:tblPr>
        <w:tblStyle w:val="TableGrid"/>
        <w:tblW w:w="14531" w:type="dxa"/>
        <w:tblLayout w:type="fixed"/>
        <w:tblLook w:val="04A0"/>
      </w:tblPr>
      <w:tblGrid>
        <w:gridCol w:w="562"/>
        <w:gridCol w:w="964"/>
        <w:gridCol w:w="4590"/>
        <w:gridCol w:w="8415"/>
      </w:tblGrid>
      <w:tr w:rsidR="009F485F" w:rsidRPr="000326A9" w:rsidTr="009F485F">
        <w:trPr>
          <w:trHeight w:val="593"/>
        </w:trPr>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Д/д</w:t>
            </w:r>
          </w:p>
        </w:tc>
        <w:tc>
          <w:tcPr>
            <w:tcW w:w="964" w:type="dxa"/>
            <w:tcBorders>
              <w:right w:val="single" w:sz="4" w:space="0" w:color="auto"/>
            </w:tcBorders>
            <w:vAlign w:val="center"/>
          </w:tcPr>
          <w:p w:rsidR="009F485F" w:rsidRPr="009619FA" w:rsidRDefault="009F485F" w:rsidP="009619FA">
            <w:pPr>
              <w:jc w:val="center"/>
              <w:rPr>
                <w:rFonts w:ascii="Arial" w:hAnsi="Arial" w:cs="Arial"/>
                <w:lang w:val="mn-MN"/>
              </w:rPr>
            </w:pPr>
            <w:r w:rsidRPr="009619FA">
              <w:rPr>
                <w:rFonts w:ascii="Arial" w:hAnsi="Arial" w:cs="Arial"/>
                <w:lang w:val="mn-MN"/>
              </w:rPr>
              <w:t>Заалт</w:t>
            </w:r>
          </w:p>
        </w:tc>
        <w:tc>
          <w:tcPr>
            <w:tcW w:w="4590" w:type="dxa"/>
            <w:tcBorders>
              <w:left w:val="single" w:sz="4" w:space="0" w:color="auto"/>
            </w:tcBorders>
            <w:vAlign w:val="center"/>
          </w:tcPr>
          <w:p w:rsidR="009F485F" w:rsidRPr="009619FA" w:rsidRDefault="009F485F" w:rsidP="009619FA">
            <w:pPr>
              <w:jc w:val="center"/>
              <w:rPr>
                <w:rFonts w:ascii="Arial" w:hAnsi="Arial" w:cs="Arial"/>
                <w:lang w:val="mn-MN"/>
              </w:rPr>
            </w:pPr>
            <w:r w:rsidRPr="009619FA">
              <w:rPr>
                <w:rFonts w:ascii="Arial" w:eastAsia="Times New Roman" w:hAnsi="Arial" w:cs="Arial"/>
                <w:bCs/>
                <w:color w:val="000000"/>
                <w:lang w:val="mn-MN"/>
              </w:rPr>
              <w:t>Зөвлөмжийн заалт</w:t>
            </w:r>
          </w:p>
        </w:tc>
        <w:tc>
          <w:tcPr>
            <w:tcW w:w="8415"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Биелэлт</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01.</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r w:rsidRPr="009619FA">
              <w:rPr>
                <w:rFonts w:ascii="Arial" w:eastAsia="Times New Roman" w:hAnsi="Arial" w:cs="Arial"/>
                <w:lang w:val="mn-MN"/>
              </w:rPr>
              <w:t>1.</w:t>
            </w:r>
          </w:p>
        </w:tc>
        <w:tc>
          <w:tcPr>
            <w:tcW w:w="4590" w:type="dxa"/>
            <w:tcBorders>
              <w:left w:val="single" w:sz="4" w:space="0" w:color="auto"/>
            </w:tcBorders>
            <w:vAlign w:val="center"/>
          </w:tcPr>
          <w:p w:rsidR="009F485F" w:rsidRPr="009619FA" w:rsidRDefault="009F485F" w:rsidP="009619FA">
            <w:pPr>
              <w:jc w:val="both"/>
              <w:rPr>
                <w:rFonts w:ascii="Arial" w:eastAsia="Times New Roman" w:hAnsi="Arial" w:cs="Arial"/>
                <w:lang w:val="mn-MN"/>
              </w:rPr>
            </w:pPr>
            <w:r w:rsidRPr="009619FA">
              <w:rPr>
                <w:rFonts w:ascii="Arial" w:eastAsia="Times New Roman" w:hAnsi="Arial" w:cs="Arial"/>
                <w:lang w:val="mn-MN"/>
              </w:rPr>
              <w:t>Дотоод аудит хийх явцад илэрсэн тогтоосон норм лимит хэтрүүлсэн, алба хаагчдын цалин урамшууллыг илүү болон дутуу тооцсон, албан томилолтын зардал буруу тооцсон зэрэг зөрчлүүдийг арилгах арга хэмжээг авч ажиллах</w:t>
            </w:r>
          </w:p>
        </w:tc>
        <w:tc>
          <w:tcPr>
            <w:tcW w:w="8415" w:type="dxa"/>
            <w:vAlign w:val="center"/>
          </w:tcPr>
          <w:p w:rsidR="009F485F" w:rsidRDefault="009F485F" w:rsidP="00F21A25">
            <w:pPr>
              <w:pStyle w:val="BodyText"/>
              <w:rPr>
                <w:rFonts w:ascii="Arial" w:hAnsi="Arial" w:cs="Arial"/>
                <w:sz w:val="22"/>
                <w:szCs w:val="22"/>
                <w:lang w:val="mn-MN"/>
              </w:rPr>
            </w:pPr>
            <w:r>
              <w:rPr>
                <w:rFonts w:ascii="Arial" w:hAnsi="Arial" w:cs="Arial"/>
                <w:sz w:val="22"/>
                <w:szCs w:val="22"/>
                <w:lang w:val="mn-MN"/>
              </w:rPr>
              <w:t xml:space="preserve">         </w:t>
            </w:r>
            <w:r w:rsidRPr="009619FA">
              <w:rPr>
                <w:rFonts w:ascii="Arial" w:hAnsi="Arial" w:cs="Arial"/>
                <w:sz w:val="22"/>
                <w:szCs w:val="22"/>
                <w:lang w:val="mn-MN"/>
              </w:rPr>
              <w:t>Хууль зүйн яамнаас Цагдаагийн ерөнхий газарт дотоод аудит болон чиг үү</w:t>
            </w:r>
            <w:r>
              <w:rPr>
                <w:rFonts w:ascii="Arial" w:hAnsi="Arial" w:cs="Arial"/>
                <w:sz w:val="22"/>
                <w:szCs w:val="22"/>
                <w:lang w:val="mn-MN"/>
              </w:rPr>
              <w:t>ргийн үнэлгээ хийх явцад</w:t>
            </w:r>
            <w:r w:rsidRPr="009619FA">
              <w:rPr>
                <w:rFonts w:ascii="Arial" w:hAnsi="Arial" w:cs="Arial"/>
                <w:sz w:val="22"/>
                <w:szCs w:val="22"/>
                <w:lang w:val="mn-MN"/>
              </w:rPr>
              <w:t xml:space="preserve"> </w:t>
            </w:r>
            <w:r>
              <w:rPr>
                <w:rFonts w:ascii="Arial" w:hAnsi="Arial" w:cs="Arial"/>
                <w:sz w:val="22"/>
                <w:szCs w:val="22"/>
                <w:lang w:val="mn-MN"/>
              </w:rPr>
              <w:t xml:space="preserve">зарим </w:t>
            </w:r>
            <w:r w:rsidRPr="009619FA">
              <w:rPr>
                <w:rFonts w:ascii="Arial" w:hAnsi="Arial" w:cs="Arial"/>
                <w:sz w:val="22"/>
                <w:szCs w:val="22"/>
                <w:lang w:val="mn-MN"/>
              </w:rPr>
              <w:t>гадаа</w:t>
            </w:r>
            <w:r>
              <w:rPr>
                <w:rFonts w:ascii="Arial" w:hAnsi="Arial" w:cs="Arial"/>
                <w:sz w:val="22"/>
                <w:szCs w:val="22"/>
                <w:lang w:val="mn-MN"/>
              </w:rPr>
              <w:t>д томилолтын удирдамж байхгүй,</w:t>
            </w:r>
            <w:r w:rsidRPr="009619FA">
              <w:rPr>
                <w:rFonts w:ascii="Arial" w:hAnsi="Arial" w:cs="Arial"/>
                <w:sz w:val="22"/>
                <w:szCs w:val="22"/>
                <w:lang w:val="mn-MN"/>
              </w:rPr>
              <w:t xml:space="preserve"> тайлан байхгүй, гадаадын зочин төлөөлөгчдийн хүлээн авалтад согтууруулах ундааг журамд зааснаас илүү хэрэглэсэн, төсвийг зориулалт бусаар зарцуулсан,  </w:t>
            </w:r>
            <w:r>
              <w:rPr>
                <w:rFonts w:ascii="Arial" w:hAnsi="Arial" w:cs="Arial"/>
                <w:sz w:val="22"/>
                <w:szCs w:val="22"/>
                <w:lang w:val="mn-MN"/>
              </w:rPr>
              <w:t>т</w:t>
            </w:r>
            <w:r w:rsidRPr="009619FA">
              <w:rPr>
                <w:rFonts w:ascii="Arial" w:hAnsi="Arial" w:cs="Arial"/>
                <w:sz w:val="22"/>
                <w:szCs w:val="22"/>
                <w:lang w:val="mn-MN"/>
              </w:rPr>
              <w:t>өрийн болон орон нутгийн өмчийн хөрөнгөөр бараа ажил үйлчилгээ худалдан авах тухай хуулийн</w:t>
            </w:r>
            <w:r>
              <w:rPr>
                <w:rFonts w:ascii="Arial" w:hAnsi="Arial" w:cs="Arial"/>
                <w:sz w:val="22"/>
                <w:szCs w:val="22"/>
                <w:lang w:val="mn-MN"/>
              </w:rPr>
              <w:t xml:space="preserve"> зарим заалтыг хэрэгжүүлээгүй, автомашины жолоочийн замын хуудас болон дагалдах хуудсыг бүрэн бичээгүй, зарим торгууль, шийтгэврийн хуудас нь санхүүгийн тэмдэг дараагүй, эрх бүхий албан тушаалтан баталгаажуулаагүй зөрчил илэрсэн тул зөрчлийг засаж залруулах ажлын төлөвлөгөө гаргаж Санхүү хангамжийн газрын даргаар батлуулан алба хаагчдад хугацаатай үүрэг өгч биелэлтэд хяналт тавин ажиллаж зөрчлийг  засуулсан.      </w:t>
            </w:r>
          </w:p>
          <w:p w:rsidR="009F485F" w:rsidRPr="009619FA" w:rsidRDefault="009F485F" w:rsidP="00F21A25">
            <w:pPr>
              <w:pStyle w:val="BodyText"/>
              <w:rPr>
                <w:rFonts w:ascii="Arial" w:hAnsi="Arial" w:cs="Arial"/>
                <w:sz w:val="22"/>
                <w:szCs w:val="22"/>
                <w:lang w:val="mn-MN"/>
              </w:rPr>
            </w:pPr>
            <w:r>
              <w:rPr>
                <w:rFonts w:ascii="Arial" w:hAnsi="Arial" w:cs="Arial"/>
                <w:sz w:val="22"/>
                <w:szCs w:val="22"/>
                <w:lang w:val="mn-MN"/>
              </w:rPr>
              <w:t xml:space="preserve">     Цаашид дээрхи зөрчлийг дахин гаргахгүй байх, хууль тогтоомжийг хэрэгжүүлэх</w:t>
            </w:r>
            <w:r w:rsidRPr="009619FA">
              <w:rPr>
                <w:rFonts w:ascii="Arial" w:hAnsi="Arial" w:cs="Arial"/>
                <w:sz w:val="22"/>
                <w:szCs w:val="22"/>
                <w:lang w:val="mn-MN"/>
              </w:rPr>
              <w:t xml:space="preserve"> үүднээс Санхүүгийн үйл ажиллагааны үр дүнг дээшлүүлэх тухай Цагдаагийн ерөнхий газрын даргын 2015 оны 03 тоот албан даалгавар гаргуулж  биелэлтийг улирал тутам тооцон,  цагдаагийн байгууллагын хэмжээнд мөрдөгдөж байгаа Нягтлан бодох бүртгэлийн бодлогын баримт бичигт нэмэлт өөрчлөлт оруулах, санхүүгийн ажилтнуудад мэргэжлийн мэдлэг, ур чадварыг дээшлүүлэх  бүсчилсэн сургалт зохион байгуулах зэрэг ажлуудыг хийж байна.   </w:t>
            </w:r>
          </w:p>
          <w:p w:rsidR="009F485F" w:rsidRPr="009619FA" w:rsidRDefault="009F485F" w:rsidP="009619FA">
            <w:pPr>
              <w:pStyle w:val="BodyText"/>
              <w:rPr>
                <w:rFonts w:ascii="Arial" w:hAnsi="Arial" w:cs="Arial"/>
                <w:sz w:val="22"/>
                <w:szCs w:val="22"/>
                <w:lang w:val="mn-MN"/>
              </w:rPr>
            </w:pP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02.</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r w:rsidRPr="009619FA">
              <w:rPr>
                <w:rFonts w:ascii="Arial" w:eastAsia="Times New Roman" w:hAnsi="Arial" w:cs="Arial"/>
                <w:lang w:val="mn-MN"/>
              </w:rPr>
              <w:t>2</w:t>
            </w:r>
            <w:r w:rsidRPr="009619FA">
              <w:rPr>
                <w:rFonts w:ascii="Arial" w:eastAsia="Times New Roman" w:hAnsi="Arial" w:cs="Arial"/>
              </w:rPr>
              <w:t>.</w:t>
            </w:r>
          </w:p>
        </w:tc>
        <w:tc>
          <w:tcPr>
            <w:tcW w:w="4590" w:type="dxa"/>
            <w:tcBorders>
              <w:left w:val="single" w:sz="4" w:space="0" w:color="auto"/>
            </w:tcBorders>
            <w:vAlign w:val="center"/>
          </w:tcPr>
          <w:p w:rsidR="009F485F" w:rsidRPr="009619FA" w:rsidRDefault="009F485F" w:rsidP="009619FA">
            <w:pPr>
              <w:jc w:val="both"/>
              <w:rPr>
                <w:rFonts w:ascii="Arial" w:eastAsia="Times New Roman" w:hAnsi="Arial" w:cs="Arial"/>
                <w:lang w:val="mn-MN"/>
              </w:rPr>
            </w:pPr>
            <w:r w:rsidRPr="009619FA">
              <w:rPr>
                <w:rFonts w:ascii="Arial" w:eastAsia="Times New Roman" w:hAnsi="Arial" w:cs="Arial"/>
                <w:lang w:val="mn-MN"/>
              </w:rPr>
              <w:t>Төсөв санхүүгийн үйл ажиллагаанд дараах хууль, тогтоомж, дүрэм журмуудыг дагаж мөрдөх, тэдгээрийн хэрэгжилтийг бүрэн хангаж ажиллах. Үүнд:</w:t>
            </w:r>
          </w:p>
          <w:p w:rsidR="009F485F" w:rsidRPr="009619FA" w:rsidRDefault="009F485F" w:rsidP="009619FA">
            <w:pPr>
              <w:pStyle w:val="ListParagraph"/>
              <w:numPr>
                <w:ilvl w:val="0"/>
                <w:numId w:val="7"/>
              </w:numPr>
              <w:jc w:val="both"/>
              <w:rPr>
                <w:rFonts w:ascii="Arial" w:eastAsia="Times New Roman" w:hAnsi="Arial" w:cs="Arial"/>
                <w:lang w:val="mn-MN"/>
              </w:rPr>
            </w:pPr>
            <w:r w:rsidRPr="009619FA">
              <w:rPr>
                <w:rFonts w:ascii="Arial" w:eastAsia="Times New Roman" w:hAnsi="Arial" w:cs="Arial"/>
                <w:lang w:val="mn-MN"/>
              </w:rPr>
              <w:t>Засгийн газрын тухай хуулийн 24 дүгээр зүйлийн 24.4 дэх заалт, 30 дугаар зүйлийн 30.7 дахь заалт</w:t>
            </w:r>
          </w:p>
        </w:tc>
        <w:tc>
          <w:tcPr>
            <w:tcW w:w="8415" w:type="dxa"/>
            <w:vAlign w:val="center"/>
          </w:tcPr>
          <w:p w:rsidR="009F485F" w:rsidRPr="009619FA" w:rsidRDefault="009F485F" w:rsidP="009619FA">
            <w:pPr>
              <w:pStyle w:val="BodyText"/>
              <w:rPr>
                <w:rFonts w:ascii="Arial" w:hAnsi="Arial" w:cs="Arial"/>
                <w:sz w:val="22"/>
                <w:szCs w:val="22"/>
                <w:lang w:val="mn-MN"/>
              </w:rPr>
            </w:pPr>
            <w:r w:rsidRPr="009619FA">
              <w:rPr>
                <w:rFonts w:ascii="Arial" w:hAnsi="Arial" w:cs="Arial"/>
                <w:sz w:val="22"/>
                <w:szCs w:val="22"/>
                <w:lang w:val="mn-MN"/>
              </w:rPr>
              <w:t xml:space="preserve">  </w:t>
            </w:r>
          </w:p>
          <w:p w:rsidR="009F485F" w:rsidRPr="009619FA" w:rsidRDefault="009F485F" w:rsidP="009619FA">
            <w:pPr>
              <w:pStyle w:val="BodyText"/>
              <w:rPr>
                <w:rFonts w:ascii="Arial" w:hAnsi="Arial" w:cs="Arial"/>
                <w:sz w:val="22"/>
                <w:szCs w:val="22"/>
                <w:lang w:val="mn-MN"/>
              </w:rPr>
            </w:pPr>
            <w:r w:rsidRPr="009619FA">
              <w:rPr>
                <w:rFonts w:ascii="Arial" w:hAnsi="Arial" w:cs="Arial"/>
                <w:sz w:val="22"/>
                <w:szCs w:val="22"/>
                <w:lang w:val="mn-MN"/>
              </w:rPr>
              <w:t xml:space="preserve">       Засгийн газрын тухай хуулийн 30 дугаар зүйлийн 7-д “Засгийн газрын тогтоол, Ерөнхий сайдын захирамж нь тэдгээрт болон хуульд өөрөөр заагаагүй бол гарсан өдрөөсөө эхлэн хүчин төгөлдөр болно.” гэсэн заалтыг санхүүгийн үйл ажиллагаанд мөрдлөг болгон хэрэгжүүлэн ажиллаж байна.   </w:t>
            </w:r>
          </w:p>
          <w:p w:rsidR="009F485F" w:rsidRDefault="009F485F" w:rsidP="00F21A25">
            <w:pPr>
              <w:pStyle w:val="BodyText"/>
              <w:rPr>
                <w:rFonts w:ascii="Arial" w:hAnsi="Arial" w:cs="Arial"/>
                <w:sz w:val="22"/>
                <w:szCs w:val="22"/>
                <w:lang w:val="mn-MN"/>
              </w:rPr>
            </w:pPr>
            <w:r>
              <w:rPr>
                <w:rFonts w:ascii="Arial" w:hAnsi="Arial" w:cs="Arial"/>
                <w:sz w:val="22"/>
                <w:szCs w:val="22"/>
                <w:lang w:val="mn-MN"/>
              </w:rPr>
              <w:t xml:space="preserve">        </w:t>
            </w:r>
            <w:r w:rsidRPr="009619FA">
              <w:rPr>
                <w:rFonts w:ascii="Arial" w:hAnsi="Arial" w:cs="Arial"/>
                <w:sz w:val="22"/>
                <w:szCs w:val="22"/>
                <w:lang w:val="mn-MN"/>
              </w:rPr>
              <w:t>Засгийн газрын 2014 оны 3 дугаар сарын 28-ны өдрийн “Цагдаагийн байгууллагын талаар авах зарим  арга хэмжээний тухай”   99 дүгээр тогтоолыг төсөв хүрэлцэхгүй шалтгааны улмаас 2014 оны 6 дугаар сарын 01-ны өдрөөс мөрдөж цалингийн зардлыг батлагдсан төсөвт багтаан зарцуулан тогтоолын  мөрдөх хугацааг хэрэгжүүлээгүй зөрчилд дүгнэлт хий</w:t>
            </w:r>
            <w:r>
              <w:rPr>
                <w:rFonts w:ascii="Arial" w:hAnsi="Arial" w:cs="Arial"/>
                <w:sz w:val="22"/>
                <w:szCs w:val="22"/>
                <w:lang w:val="mn-MN"/>
              </w:rPr>
              <w:t xml:space="preserve">ж төсөв хүрэлцэхгүй байгаа тул шийдвэрлүүлэх талаар Хууль зүйн яам, Сангийн яаманд холбогдох тооцоо, албан бичгийг хүргүүлсэн. </w:t>
            </w:r>
          </w:p>
          <w:p w:rsidR="009F485F" w:rsidRPr="009619FA" w:rsidRDefault="009F485F" w:rsidP="00F21A25">
            <w:pPr>
              <w:pStyle w:val="BodyText"/>
              <w:rPr>
                <w:rFonts w:ascii="Arial" w:hAnsi="Arial" w:cs="Arial"/>
                <w:sz w:val="22"/>
                <w:szCs w:val="22"/>
                <w:lang w:val="mn-MN"/>
              </w:rPr>
            </w:pP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lastRenderedPageBreak/>
              <w:t>03.</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rPr>
            </w:pPr>
            <w:r w:rsidRPr="009619FA">
              <w:rPr>
                <w:rFonts w:ascii="Arial" w:eastAsia="Times New Roman" w:hAnsi="Arial" w:cs="Arial"/>
                <w:lang w:val="mn-MN"/>
              </w:rPr>
              <w:t>Төсвийн тухай хуулийн 6 дугаар зүйлийн 6.4.1, 16 дугаар зүйлийн 16.5. дэх заалт</w:t>
            </w:r>
          </w:p>
        </w:tc>
        <w:tc>
          <w:tcPr>
            <w:tcW w:w="8415" w:type="dxa"/>
            <w:vAlign w:val="center"/>
          </w:tcPr>
          <w:p w:rsidR="009F485F" w:rsidRPr="009619FA" w:rsidRDefault="009F485F" w:rsidP="009619FA">
            <w:pPr>
              <w:ind w:firstLine="630"/>
              <w:jc w:val="both"/>
              <w:rPr>
                <w:rFonts w:ascii="Arial" w:eastAsia="Times New Roman" w:hAnsi="Arial" w:cs="Arial"/>
                <w:color w:val="000000"/>
                <w:lang w:val="mn-MN"/>
              </w:rPr>
            </w:pPr>
            <w:r w:rsidRPr="009619FA">
              <w:rPr>
                <w:rFonts w:ascii="Arial" w:eastAsia="Times New Roman" w:hAnsi="Arial" w:cs="Arial"/>
              </w:rPr>
              <w:t>Цагдаагийн байгууллагын эрхэм зорилго, үйл ажиллагааны зорилт, зорилго</w:t>
            </w:r>
            <w:r w:rsidRPr="009619FA">
              <w:rPr>
                <w:rFonts w:ascii="Arial" w:eastAsia="Times New Roman" w:hAnsi="Arial" w:cs="Arial"/>
                <w:lang w:val="mn-MN"/>
              </w:rPr>
              <w:t>,</w:t>
            </w:r>
            <w:r w:rsidRPr="009619FA">
              <w:rPr>
                <w:rFonts w:ascii="Arial" w:eastAsia="Times New Roman" w:hAnsi="Arial" w:cs="Arial"/>
              </w:rPr>
              <w:t xml:space="preserve"> урт, дунд хугацааны стратеги төлөвлөгөөтэй нягт уялдуулан</w:t>
            </w:r>
            <w:r w:rsidRPr="009619FA">
              <w:rPr>
                <w:rFonts w:ascii="Arial" w:eastAsia="Times New Roman" w:hAnsi="Arial" w:cs="Arial"/>
                <w:lang w:val="mn-MN"/>
              </w:rPr>
              <w:t xml:space="preserve"> батлагдсан төсвийн хүрээний мэдэгдлийг үндэслэн </w:t>
            </w:r>
            <w:r w:rsidRPr="009619FA">
              <w:rPr>
                <w:rFonts w:ascii="Arial" w:eastAsia="Times New Roman" w:hAnsi="Arial" w:cs="Arial"/>
              </w:rPr>
              <w:t xml:space="preserve"> </w:t>
            </w:r>
            <w:r w:rsidRPr="009619FA">
              <w:rPr>
                <w:rFonts w:ascii="Arial" w:hAnsi="Arial" w:cs="Arial"/>
                <w:lang w:val="mn-MN"/>
              </w:rPr>
              <w:t xml:space="preserve">Цагдаагийн байгууллагын 2015 оны төсвийг төлөвлөн батлуулж төсвийг үр ашигтай, хэмнэлттэй зарцуулах бодлого барин ажиллаж байна. </w:t>
            </w:r>
          </w:p>
          <w:p w:rsidR="009F485F" w:rsidRPr="009619FA" w:rsidRDefault="009F485F" w:rsidP="009619FA">
            <w:pPr>
              <w:jc w:val="both"/>
              <w:rPr>
                <w:rFonts w:ascii="Arial" w:eastAsia="Calibri" w:hAnsi="Arial" w:cs="Arial"/>
                <w:lang w:val="mn-MN"/>
              </w:rPr>
            </w:pPr>
            <w:r w:rsidRPr="009619FA">
              <w:rPr>
                <w:rFonts w:ascii="Arial" w:eastAsia="Calibri" w:hAnsi="Arial" w:cs="Arial"/>
                <w:lang w:val="mn-MN"/>
              </w:rPr>
              <w:t xml:space="preserve">Монгол улсын Засгийн газрын 2014 оны “Төсвийн хэмнэлтийн горимд шилжүүлэх зарим арга хэмжээний тухай” 147 дугаар тогтоолыг мөрдлөг болгон зардлыг  батлагдсан сар, улирлын хуваарьт багтаан зарцуулан үйл ажиллагаагаа явуулж, өр төлбөр үүсгэлгүй хэмнэж ажиллах тал дээр анхаарч зарим хүрэлцэхгүй зардлууд болох урсгал засвар, бичиг хэрэг, шуудан холбоо, хоол, гэрэл цахилгааны зардалд лимит тогтоон ажиллаж байна. </w:t>
            </w:r>
            <w:r>
              <w:rPr>
                <w:rFonts w:ascii="Arial" w:eastAsia="Calibri" w:hAnsi="Arial" w:cs="Arial"/>
                <w:lang w:val="mn-MN"/>
              </w:rPr>
              <w:t>Мөн Цагдаагийн ерөнхий газрын даргын 2015 оны 06 дугаар сарын 19-ны өдрийн б/338 тоот тушаалаар шатахуун зарцуулалтын лимитийг шинэчлэн тогтоон мөрдөн ажиллаж байна.</w:t>
            </w:r>
          </w:p>
          <w:p w:rsidR="009F485F" w:rsidRPr="009619FA" w:rsidRDefault="009F485F" w:rsidP="009619FA">
            <w:pPr>
              <w:pStyle w:val="BodyText"/>
              <w:ind w:firstLine="720"/>
              <w:rPr>
                <w:rFonts w:ascii="Arial" w:hAnsi="Arial" w:cs="Arial"/>
                <w:sz w:val="22"/>
                <w:szCs w:val="22"/>
                <w:lang w:val="mn-MN"/>
              </w:rPr>
            </w:pPr>
            <w:r w:rsidRPr="009619FA">
              <w:rPr>
                <w:rFonts w:ascii="Arial" w:hAnsi="Arial" w:cs="Arial"/>
                <w:sz w:val="22"/>
                <w:szCs w:val="22"/>
                <w:lang w:val="mn-MN"/>
              </w:rPr>
              <w:t xml:space="preserve">    Засгийн газрын 2015 оны “ Монгол Улсын 2015 оны төсвийг хэрэгжүүлэх талаар авах зарим арга хэмжээний тухай” 230 дугаар тогтоолыг хэрэгжүүлэх ажлын хүрээнд төсөвт нэгжид, тухайн сард олгох санхүүжилтийг эрэмбэлэн олгох болсонтой холбогдуулан Сангийн сайдын 2015 оны “ Төсвийн хуваарьт өөрчлөлт оруулах тухай “ 164 дүгээр тушаалд төсвийн хэмнэлт гарсан төсөв захирагч нараас өр төлбөртэй байгууллагуудад шилжүүлэх, хэмнэгдсэн зардлаас өр төлбөр үүсгээд байгаа зардлуудад шилжүүлэн төсвийн хуваарьт өөрчлөлт оруулан </w:t>
            </w:r>
            <w:r w:rsidRPr="009619FA">
              <w:rPr>
                <w:rFonts w:ascii="Arial" w:eastAsia="Calibri" w:hAnsi="Arial" w:cs="Arial"/>
                <w:sz w:val="22"/>
                <w:szCs w:val="22"/>
                <w:lang w:val="mn-MN"/>
              </w:rPr>
              <w:t>Төсвийн тухай хуулийн 6 дугаар зүйлийн 6.4.1-д “Төсвийг үр ашигтай хэмнэлттэй байхаар төлөвлөж зарцуулах”, 6.4.8-д “Төсвийг зохистой удирдаж, авлага, өр төлбөр үүсгэхгүй байх” гэсэн заалтыг мөрдөн ажиллаж байна</w:t>
            </w:r>
          </w:p>
          <w:p w:rsidR="009F485F" w:rsidRPr="009619FA" w:rsidRDefault="009F485F" w:rsidP="009619FA">
            <w:pPr>
              <w:ind w:firstLine="720"/>
              <w:jc w:val="both"/>
              <w:rPr>
                <w:rFonts w:ascii="Arial" w:hAnsi="Arial" w:cs="Arial"/>
                <w:lang w:val="mn-MN"/>
              </w:rPr>
            </w:pPr>
            <w:r w:rsidRPr="009619FA">
              <w:rPr>
                <w:rFonts w:ascii="Arial" w:hAnsi="Arial" w:cs="Arial"/>
                <w:lang w:val="mn-MN"/>
              </w:rPr>
              <w:t xml:space="preserve">ЦЕГ-ын даргын төсвийн багцын 2015 оны  төсвийн хуваарилалтыг хийхэд харьяа байгууллагын төсвийн санхүүжилт, үндсэн болон үндсэн бус үйл ажиллагааны орлого, төлөвлөгдсөн зардлын саналыг харгалзан үзэж төсвийг үндэслэлтэй  бодитой тооцох, хуваарилах тал дээр анхаарч ажиллан батлагдсан төсвийг зориулалтын дагуу зарцуулан ажиллаж байна. </w:t>
            </w:r>
          </w:p>
          <w:p w:rsidR="009F485F" w:rsidRPr="009619FA" w:rsidRDefault="009F485F" w:rsidP="009619FA">
            <w:pPr>
              <w:jc w:val="both"/>
              <w:rPr>
                <w:rFonts w:ascii="Arial" w:hAnsi="Arial" w:cs="Arial"/>
                <w:lang w:val="mn-MN"/>
              </w:rPr>
            </w:pPr>
            <w:r w:rsidRPr="009619FA">
              <w:rPr>
                <w:rFonts w:ascii="Arial" w:hAnsi="Arial" w:cs="Arial"/>
              </w:rPr>
              <w:t xml:space="preserve">             </w:t>
            </w:r>
            <w:r w:rsidRPr="009619FA">
              <w:rPr>
                <w:rFonts w:ascii="Arial" w:hAnsi="Arial" w:cs="Arial"/>
                <w:lang w:val="mn-MN"/>
              </w:rPr>
              <w:t>Цагдаагийн байгууллагын</w:t>
            </w:r>
            <w:r w:rsidRPr="009619FA">
              <w:rPr>
                <w:rFonts w:ascii="Arial" w:hAnsi="Arial" w:cs="Arial"/>
              </w:rPr>
              <w:t xml:space="preserve"> 201</w:t>
            </w:r>
            <w:r w:rsidRPr="009619FA">
              <w:rPr>
                <w:rFonts w:ascii="Arial" w:hAnsi="Arial" w:cs="Arial"/>
                <w:lang w:val="mn-MN"/>
              </w:rPr>
              <w:t>5</w:t>
            </w:r>
            <w:r w:rsidRPr="009619FA">
              <w:rPr>
                <w:rFonts w:ascii="Arial" w:hAnsi="Arial" w:cs="Arial"/>
              </w:rPr>
              <w:t xml:space="preserve"> оны</w:t>
            </w:r>
            <w:r w:rsidRPr="009619FA">
              <w:rPr>
                <w:rFonts w:ascii="Arial" w:hAnsi="Arial" w:cs="Arial"/>
                <w:lang w:val="mn-MN"/>
              </w:rPr>
              <w:t xml:space="preserve"> 1,2 улирлын тайлан болон сар бүрийн </w:t>
            </w:r>
            <w:r w:rsidRPr="009619FA">
              <w:rPr>
                <w:rFonts w:ascii="Arial" w:hAnsi="Arial" w:cs="Arial"/>
              </w:rPr>
              <w:t xml:space="preserve"> </w:t>
            </w:r>
            <w:r w:rsidRPr="009619FA">
              <w:rPr>
                <w:rFonts w:ascii="Arial" w:hAnsi="Arial" w:cs="Arial"/>
                <w:lang w:val="mn-MN"/>
              </w:rPr>
              <w:t>төсвийн гүйцэтгэл, өр авлагын мэдээ</w:t>
            </w:r>
            <w:r w:rsidRPr="009619FA">
              <w:rPr>
                <w:rFonts w:ascii="Arial" w:hAnsi="Arial" w:cs="Arial"/>
              </w:rPr>
              <w:t>г</w:t>
            </w:r>
            <w:r w:rsidRPr="009619FA">
              <w:rPr>
                <w:rFonts w:ascii="Arial" w:hAnsi="Arial" w:cs="Arial"/>
                <w:lang w:val="mn-MN"/>
              </w:rPr>
              <w:t xml:space="preserve"> харьяа газар, хэлтсээс </w:t>
            </w:r>
            <w:r w:rsidRPr="009619FA">
              <w:rPr>
                <w:rFonts w:ascii="Arial" w:hAnsi="Arial" w:cs="Arial"/>
              </w:rPr>
              <w:t xml:space="preserve"> хүлээн авч шалган нэгтгэ</w:t>
            </w:r>
            <w:r w:rsidRPr="009619FA">
              <w:rPr>
                <w:rFonts w:ascii="Arial" w:hAnsi="Arial" w:cs="Arial"/>
                <w:lang w:val="mn-MN"/>
              </w:rPr>
              <w:t xml:space="preserve">ж </w:t>
            </w:r>
            <w:r w:rsidRPr="009619FA">
              <w:rPr>
                <w:rFonts w:ascii="Arial" w:hAnsi="Arial" w:cs="Arial"/>
              </w:rPr>
              <w:t xml:space="preserve">ХЗЯаманд </w:t>
            </w:r>
            <w:r w:rsidRPr="009619FA">
              <w:rPr>
                <w:rFonts w:ascii="Arial" w:hAnsi="Arial" w:cs="Arial"/>
                <w:lang w:val="mn-MN"/>
              </w:rPr>
              <w:t xml:space="preserve">хүргүүлэв. </w:t>
            </w:r>
          </w:p>
          <w:p w:rsidR="009F485F" w:rsidRPr="009619FA" w:rsidRDefault="009F485F" w:rsidP="009619FA">
            <w:pPr>
              <w:pStyle w:val="BodyTextIndent"/>
              <w:spacing w:after="0"/>
              <w:ind w:left="0" w:firstLine="720"/>
              <w:jc w:val="both"/>
              <w:rPr>
                <w:rFonts w:ascii="Arial" w:hAnsi="Arial" w:cs="Arial"/>
                <w:lang w:val="mn-MN"/>
              </w:rPr>
            </w:pPr>
            <w:r w:rsidRPr="009619FA">
              <w:rPr>
                <w:rFonts w:ascii="Arial" w:hAnsi="Arial" w:cs="Arial"/>
                <w:lang w:val="mn-MN"/>
              </w:rPr>
              <w:t xml:space="preserve">Төсвийн дотоод хяналтын үйл ажиллагааг сайжруулахын тулд төлөвлөгөө гаргаж  төлөвлөгөөний дагуу харьяа  байгууллагын санхүүгийн үйл ажиллагааг  шалган илэрсэн зөрчлийг шалгалтын хугацаанд арилгуулж, </w:t>
            </w:r>
            <w:r w:rsidRPr="009619FA">
              <w:rPr>
                <w:rFonts w:ascii="Arial" w:hAnsi="Arial" w:cs="Arial"/>
              </w:rPr>
              <w:t xml:space="preserve">анхан шатны баримтын бүрдэлтийг </w:t>
            </w:r>
            <w:r w:rsidRPr="009619FA">
              <w:rPr>
                <w:rFonts w:ascii="Arial" w:hAnsi="Arial" w:cs="Arial"/>
                <w:lang w:val="mn-MN"/>
              </w:rPr>
              <w:t>хангуулан, зөвлөмж бичиж мэргэжил арга зүйн зөвлөгөө өгч биелэлтийг тооцон ажиллаж байна</w:t>
            </w:r>
          </w:p>
          <w:p w:rsidR="009F485F" w:rsidRPr="009619FA" w:rsidRDefault="009F485F" w:rsidP="009619FA">
            <w:pPr>
              <w:pStyle w:val="BodyTextIndent"/>
              <w:spacing w:after="0"/>
              <w:ind w:left="0" w:firstLine="720"/>
              <w:jc w:val="both"/>
              <w:rPr>
                <w:rFonts w:ascii="Arial" w:hAnsi="Arial" w:cs="Arial"/>
                <w:color w:val="000000"/>
                <w:lang w:val="mn-MN"/>
              </w:rPr>
            </w:pPr>
            <w:r w:rsidRPr="009619FA">
              <w:rPr>
                <w:rFonts w:ascii="Arial" w:hAnsi="Arial" w:cs="Arial"/>
                <w:color w:val="000000"/>
                <w:lang w:val="mn-MN"/>
              </w:rPr>
              <w:t xml:space="preserve"> </w:t>
            </w:r>
          </w:p>
        </w:tc>
      </w:tr>
      <w:tr w:rsidR="009F485F" w:rsidRPr="000326A9" w:rsidTr="009F485F">
        <w:tc>
          <w:tcPr>
            <w:tcW w:w="562" w:type="dxa"/>
            <w:vAlign w:val="center"/>
          </w:tcPr>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Default="009F485F" w:rsidP="009619FA">
            <w:pPr>
              <w:jc w:val="center"/>
              <w:rPr>
                <w:rFonts w:ascii="Arial" w:hAnsi="Arial" w:cs="Arial"/>
                <w:lang w:val="mn-MN"/>
              </w:rPr>
            </w:pPr>
          </w:p>
          <w:p w:rsidR="009F485F" w:rsidRPr="009619FA" w:rsidRDefault="009F485F" w:rsidP="009619FA">
            <w:pPr>
              <w:jc w:val="center"/>
              <w:rPr>
                <w:rFonts w:ascii="Arial" w:hAnsi="Arial" w:cs="Arial"/>
                <w:lang w:val="mn-MN"/>
              </w:rPr>
            </w:pPr>
            <w:r>
              <w:rPr>
                <w:rFonts w:ascii="Arial" w:hAnsi="Arial" w:cs="Arial"/>
                <w:lang w:val="mn-MN"/>
              </w:rPr>
              <w:t>04</w:t>
            </w:r>
            <w:r w:rsidRPr="009619FA">
              <w:rPr>
                <w:rFonts w:ascii="Arial" w:hAnsi="Arial" w:cs="Arial"/>
                <w:lang w:val="mn-MN"/>
              </w:rPr>
              <w:t>.</w:t>
            </w:r>
          </w:p>
          <w:p w:rsidR="009F485F" w:rsidRPr="009619FA" w:rsidRDefault="009F485F" w:rsidP="009619FA">
            <w:pPr>
              <w:jc w:val="center"/>
              <w:rPr>
                <w:rFonts w:ascii="Arial" w:hAnsi="Arial" w:cs="Arial"/>
                <w:lang w:val="mn-MN"/>
              </w:rPr>
            </w:pP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lang w:val="mn-MN"/>
              </w:rPr>
            </w:pPr>
            <w:r w:rsidRPr="009619FA">
              <w:rPr>
                <w:rFonts w:ascii="Arial" w:eastAsia="Times New Roman" w:hAnsi="Arial" w:cs="Arial"/>
                <w:lang w:val="mn-MN"/>
              </w:rPr>
              <w:t xml:space="preserve">Нягтлан бодох бүртгэлийн тухай хуулийн 8 дугаар зүйлийн 8.3.1, 8.3.2, 8.3.3, 8.3.4 дэх заалт, 9 дүгээр зүйлийн 9.1 дэх заалт </w:t>
            </w:r>
          </w:p>
        </w:tc>
        <w:tc>
          <w:tcPr>
            <w:tcW w:w="8415" w:type="dxa"/>
            <w:vAlign w:val="center"/>
          </w:tcPr>
          <w:p w:rsidR="009F485F" w:rsidRDefault="009F485F" w:rsidP="009619FA">
            <w:pPr>
              <w:pStyle w:val="BodyText"/>
              <w:ind w:firstLine="708"/>
              <w:rPr>
                <w:rFonts w:ascii="Arial" w:hAnsi="Arial" w:cs="Arial"/>
                <w:sz w:val="22"/>
                <w:szCs w:val="22"/>
                <w:lang w:val="mn-MN"/>
              </w:rPr>
            </w:pPr>
            <w:r w:rsidRPr="009619FA">
              <w:rPr>
                <w:rFonts w:ascii="Arial" w:hAnsi="Arial" w:cs="Arial"/>
                <w:sz w:val="22"/>
                <w:szCs w:val="22"/>
                <w:lang w:val="mn-MN"/>
              </w:rPr>
              <w:t xml:space="preserve">Нягтлан бодох бүртгэлийн анхан шатны баримтын бүрдлийг хангуулах, тайлан тэнцэлд гарсан ажил гүйлгээг бүрэн тусгах, Цагдаагийн ерөнхий газрын даргын 2013 оны 422 дугаар тушаалаар баталсан Нягтлан бодох бүртгэлийн бодлогын баримт бичигт тусгасан анхан шатны бүртгэл хөтлөх заавар, дэлгэрэнгүй бүртгэл хөтлөх заавар арга аргачлалыг нягтлан бодох бүртгэлийн </w:t>
            </w:r>
            <w:r w:rsidRPr="009619FA">
              <w:rPr>
                <w:rFonts w:ascii="Arial" w:hAnsi="Arial" w:cs="Arial"/>
                <w:sz w:val="22"/>
                <w:szCs w:val="22"/>
                <w:lang w:val="mn-MN"/>
              </w:rPr>
              <w:lastRenderedPageBreak/>
              <w:t xml:space="preserve">үйл ажиллагаанд  хэрэгжүүлэн ажиллаж кассын дэвтэр, бараа материалын агуулахын бүртгэлийн үлдэгдлийг нягтлан бодогчоор баталгаажуулах, гүйлгээ хийхдээ гарын үсгийг бүрэн зуруулах, зарцуулалтын тайлан хавсаргах, хөрөнгийг нэр төрөл нэгжийн үнээр ангилалын дагуу зөв бүртгэх, няравын тайланг нягтлан бодох бүртгэлийн үлдэгдэл, орлого, зарлагын журналтай тулгах, цалин хөлс бодоход мөрдөгдөж байгаа хууль тогтоомжийг  бүрэн хэрэгжүүлэн бүртгэл хөтлөж байна.  </w:t>
            </w:r>
          </w:p>
          <w:p w:rsidR="009F485F" w:rsidRDefault="009F485F" w:rsidP="009619FA">
            <w:pPr>
              <w:pStyle w:val="BodyText"/>
              <w:ind w:firstLine="708"/>
              <w:rPr>
                <w:rFonts w:ascii="Arial" w:hAnsi="Arial" w:cs="Arial"/>
                <w:sz w:val="22"/>
                <w:szCs w:val="22"/>
                <w:lang w:val="mn-MN"/>
              </w:rPr>
            </w:pPr>
            <w:r w:rsidRPr="009619FA">
              <w:rPr>
                <w:rFonts w:ascii="Arial" w:hAnsi="Arial" w:cs="Arial"/>
                <w:sz w:val="22"/>
                <w:szCs w:val="22"/>
                <w:lang w:val="mn-MN"/>
              </w:rPr>
              <w:t xml:space="preserve"> Нягтлан бодох бүртгэлийн тухай хуулийн 8 дугаар зүйлийн 8.3.1-д анхан шатны баримт бүрдүүлэх, 8.3.2-т журналд бичих, 8.3.3-д дэлгэрэнгүй болон ерөнхий данс хөтлөх, 8.3.4-т ажил гүйлгээний мэдээ гаргах, тайлан гаргах, 9 дүгээр зүйлийн 9.1-д “Аж ахуйн нэгж байгууллага нь хөрөнгө өр төлбөрөө нягтлан бодох бүртгэлийн олон улсын стандартын дагуу үнэлж данс бүртгэлд тусгана” гэж заасныг мөрдөн дотоод аудитын шалгалтаар илэрсэн 410,0 мянган төгрөгийн савхин дээлийг Хангалт үйлчилгээний төвийн нягтлан бодох бүртгэлд орлого авч тооцоог хийсэн, мөн мөрдөн байцаагчаар ажиллаж байсан бэлтгэл дэд хурандаа Б.Борхүүгийн буруутай үйл ажиллагаанаас болж иргэн Э.Туулд учруулсан хохирол 643,9 мянган төгрөгийг олгуулахаар Нийслэлийн Шүүхийн шийдвэр гүйцэтгэх албанд шилжүүлсэнг Б.Борхүүгээс авах авлагаар нягтлан бодох бүртгэлд тусган авлагыг барагдуулах ажил зохион байгуулж байна. </w:t>
            </w:r>
          </w:p>
          <w:p w:rsidR="009F485F" w:rsidRPr="00A719F0" w:rsidRDefault="009F485F" w:rsidP="009619FA">
            <w:pPr>
              <w:pStyle w:val="BodyText"/>
              <w:ind w:firstLine="708"/>
              <w:rPr>
                <w:rFonts w:ascii="Arial" w:hAnsi="Arial" w:cs="Arial"/>
                <w:sz w:val="22"/>
                <w:szCs w:val="22"/>
                <w:lang w:val="mn-MN"/>
              </w:rPr>
            </w:pPr>
            <w:r w:rsidRPr="009619FA">
              <w:rPr>
                <w:rFonts w:ascii="Arial" w:hAnsi="Arial" w:cs="Arial"/>
                <w:sz w:val="22"/>
                <w:szCs w:val="22"/>
              </w:rPr>
              <w:t>Мөнгөн кассын сахилга батыг чандлан сахиж гүйлгээг анхан шатны бүрдэл болсон баримтаар хийн, үлдэгдлийг өдөр тутам гаргуу</w:t>
            </w:r>
            <w:r>
              <w:rPr>
                <w:rFonts w:ascii="Arial" w:hAnsi="Arial" w:cs="Arial"/>
                <w:sz w:val="22"/>
                <w:szCs w:val="22"/>
              </w:rPr>
              <w:t xml:space="preserve">лж байвал зохих бэлэн мөнгийг </w:t>
            </w:r>
            <w:r>
              <w:rPr>
                <w:rFonts w:ascii="Arial" w:hAnsi="Arial" w:cs="Arial"/>
                <w:sz w:val="22"/>
                <w:szCs w:val="22"/>
                <w:lang w:val="mn-MN"/>
              </w:rPr>
              <w:t>гэнэтийн тооллого хийх</w:t>
            </w:r>
            <w:r w:rsidRPr="009619FA">
              <w:rPr>
                <w:rFonts w:ascii="Arial" w:hAnsi="Arial" w:cs="Arial"/>
                <w:sz w:val="22"/>
                <w:szCs w:val="22"/>
              </w:rPr>
              <w:t xml:space="preserve"> болон 14 хоног тутам тоолж, хяналт тавин удирдлагад танилцуулж ,,Жижиг мөнгөн сан,,-д тогтмол дүүргэлт хийж, тайланг тухай бүр</w:t>
            </w:r>
            <w:r>
              <w:rPr>
                <w:rFonts w:ascii="Arial" w:hAnsi="Arial" w:cs="Arial"/>
                <w:sz w:val="22"/>
                <w:szCs w:val="22"/>
              </w:rPr>
              <w:t xml:space="preserve"> төрийн сангаар хянуулж ажилла</w:t>
            </w:r>
            <w:r>
              <w:rPr>
                <w:rFonts w:ascii="Arial" w:hAnsi="Arial" w:cs="Arial"/>
                <w:sz w:val="22"/>
                <w:szCs w:val="22"/>
                <w:lang w:val="mn-MN"/>
              </w:rPr>
              <w:t>сан.</w:t>
            </w:r>
          </w:p>
          <w:p w:rsidR="009F485F" w:rsidRPr="009619FA" w:rsidRDefault="009F485F" w:rsidP="009619FA">
            <w:pPr>
              <w:ind w:firstLine="720"/>
              <w:jc w:val="both"/>
              <w:rPr>
                <w:rFonts w:ascii="Arial" w:hAnsi="Arial" w:cs="Arial"/>
                <w:lang w:val="mn-MN"/>
              </w:rPr>
            </w:pPr>
            <w:r w:rsidRPr="009619FA">
              <w:rPr>
                <w:rFonts w:ascii="Arial" w:hAnsi="Arial" w:cs="Arial"/>
                <w:lang w:val="mn-MN"/>
              </w:rPr>
              <w:t>Мөнгөн хөрөнгө,б</w:t>
            </w:r>
            <w:r w:rsidRPr="009619FA">
              <w:rPr>
                <w:rFonts w:ascii="Arial" w:hAnsi="Arial" w:cs="Arial"/>
              </w:rPr>
              <w:t>араа материал</w:t>
            </w:r>
            <w:r w:rsidRPr="009619FA">
              <w:rPr>
                <w:rFonts w:ascii="Arial" w:hAnsi="Arial" w:cs="Arial"/>
                <w:lang w:val="mn-MN"/>
              </w:rPr>
              <w:t xml:space="preserve">ын </w:t>
            </w:r>
            <w:r w:rsidRPr="009619FA">
              <w:rPr>
                <w:rFonts w:ascii="Arial" w:hAnsi="Arial" w:cs="Arial"/>
              </w:rPr>
              <w:t>тайланг сар бүр эд хариуцагчаар тогтмол гаргуулан,  нягтлан бодогч тайланг   хүлээн авч шалган  анхан шатны баримтуудтай тулгалт хийж  агуулахын бүртгэлийг баталгаажуулж байгаа ба  эд хариуцагч бүр эд хөрөнгийн ашиглалтанд бүртгэлээр тавих хяналтыг тогтмолжуулж</w:t>
            </w:r>
            <w:r w:rsidRPr="009619FA">
              <w:rPr>
                <w:rFonts w:ascii="Arial" w:hAnsi="Arial" w:cs="Arial"/>
                <w:lang w:val="mn-MN"/>
              </w:rPr>
              <w:t xml:space="preserve"> ажиллалаа.</w:t>
            </w:r>
            <w:r w:rsidRPr="009619FA">
              <w:rPr>
                <w:rFonts w:ascii="Arial" w:hAnsi="Arial" w:cs="Arial"/>
              </w:rPr>
              <w:t xml:space="preserve">  </w:t>
            </w:r>
          </w:p>
          <w:p w:rsidR="009F485F" w:rsidRPr="009619FA" w:rsidRDefault="009F485F" w:rsidP="009619FA">
            <w:pPr>
              <w:pStyle w:val="BodyText"/>
              <w:rPr>
                <w:rFonts w:ascii="Arial" w:hAnsi="Arial" w:cs="Arial"/>
                <w:sz w:val="22"/>
                <w:szCs w:val="22"/>
                <w:lang w:val="mn-MN"/>
              </w:rPr>
            </w:pPr>
            <w:r w:rsidRPr="009619FA">
              <w:rPr>
                <w:rFonts w:ascii="Arial" w:hAnsi="Arial" w:cs="Arial"/>
                <w:sz w:val="22"/>
                <w:szCs w:val="22"/>
                <w:lang w:val="mn-MN"/>
              </w:rPr>
              <w:t xml:space="preserve">         Цагдаагийн байгууллагын хэмжээнд мөрдөгдөж байгаа Нягтлан бодох бүртгэлийн бодлогын баримт бичигт заасан хугацаанд тайлан, мэдээнүүдийг гаргуулан авч нэгтгэн дүгнэж шинжилгээ хийн удирдлагыг мэдээллээр хангаж ажиллаж байна.</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lastRenderedPageBreak/>
              <w:t>05.</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lang w:val="mn-MN"/>
              </w:rPr>
            </w:pPr>
            <w:r w:rsidRPr="009619FA">
              <w:rPr>
                <w:rFonts w:ascii="Arial" w:eastAsia="Times New Roman" w:hAnsi="Arial" w:cs="Arial"/>
                <w:lang w:val="mn-MN"/>
              </w:rPr>
              <w:t>Төрийн болон орон нутгийн өмчийн хөрөнгөөр бараа ажил үйлчилгээ худалдан авах тухай хуулийн тендер зарлах, нээх, баримт бичгийг бүрдүүлэх, шалгаруулахтай холбоотой зүйл заалтууд</w:t>
            </w:r>
          </w:p>
        </w:tc>
        <w:tc>
          <w:tcPr>
            <w:tcW w:w="8415" w:type="dxa"/>
            <w:vAlign w:val="center"/>
          </w:tcPr>
          <w:p w:rsidR="009F485F" w:rsidRDefault="009F485F" w:rsidP="009619FA">
            <w:pPr>
              <w:jc w:val="both"/>
              <w:rPr>
                <w:rFonts w:ascii="Arial" w:eastAsia="Times New Roman" w:hAnsi="Arial" w:cs="Arial"/>
                <w:lang w:val="mn-MN"/>
              </w:rPr>
            </w:pPr>
            <w:r>
              <w:rPr>
                <w:rFonts w:ascii="Arial" w:eastAsia="Times New Roman" w:hAnsi="Arial" w:cs="Arial"/>
                <w:lang w:val="mn-MN"/>
              </w:rPr>
              <w:t xml:space="preserve">        2014 оны тендерийн шалгаруулалтад оролцсон байгууллагуудад тендерийн баримт бичгийг худалдсан бөгөөд төлбөр тушаасан баримтыг нөхөн бүрдүүлж материалд хавсаргах ажлыг зохион байгууллаа. </w:t>
            </w:r>
          </w:p>
          <w:p w:rsidR="009F485F" w:rsidRDefault="009F485F" w:rsidP="009619FA">
            <w:pPr>
              <w:jc w:val="both"/>
              <w:rPr>
                <w:rFonts w:ascii="Arial" w:eastAsia="Times New Roman" w:hAnsi="Arial" w:cs="Arial"/>
                <w:lang w:val="mn-MN"/>
              </w:rPr>
            </w:pPr>
            <w:r>
              <w:rPr>
                <w:rFonts w:ascii="Arial" w:eastAsia="Times New Roman" w:hAnsi="Arial" w:cs="Arial"/>
                <w:lang w:val="mn-MN"/>
              </w:rPr>
              <w:t xml:space="preserve">        Худалдан авах ажиллагаатай холбоотой 2014 оны бүх баримтуудыг нягтлан шалгаж, холбогдох хууль тогтоомжийн дагуу хавтаст хэрэг болгон бүрдүүлэх ажлыг зохион байгуулж байгаа ба энэ оны 9 дүгээр сард архивт хүлээлгэн өгөхөөр төлөвлөж байна. </w:t>
            </w:r>
          </w:p>
          <w:p w:rsidR="009F485F" w:rsidRPr="009619FA" w:rsidRDefault="009F485F" w:rsidP="009619FA">
            <w:pPr>
              <w:jc w:val="both"/>
              <w:rPr>
                <w:rFonts w:ascii="Arial" w:eastAsia="Times New Roman" w:hAnsi="Arial" w:cs="Arial"/>
                <w:lang w:val="mn-MN"/>
              </w:rPr>
            </w:pPr>
            <w:r>
              <w:rPr>
                <w:rFonts w:ascii="Arial" w:eastAsia="Times New Roman" w:hAnsi="Arial" w:cs="Arial"/>
                <w:lang w:val="mn-MN"/>
              </w:rPr>
              <w:t xml:space="preserve">         2014 оны улсын төсвийн хөрөнгө оруулалтаар Сэлэнгэ аймгийн Жавхлант, Цагааннуур сумдад болон Архангай, Булган, Өвөрхангай аймгуудын зааг Элсэн тасархайд баригдах хэсгийн төлөөлөгчийн байр, замын цагдаагийн </w:t>
            </w:r>
            <w:r>
              <w:rPr>
                <w:rFonts w:ascii="Arial" w:eastAsia="Times New Roman" w:hAnsi="Arial" w:cs="Arial"/>
                <w:lang w:val="mn-MN"/>
              </w:rPr>
              <w:lastRenderedPageBreak/>
              <w:t>байнгын байрны төсөвт хяналтын зардал тусгагдсан ба Жавхлант, Цагааннуур сумдын барилгын ажлын хяналтын зардалд 1600000 төгрөгийн санхүүжилт олгосон. Цаашид хяналтын зардлын талаар гэрээнд тусгаагүй, тавилга хэрэгсэл худалдан авах тендер шалгаруулалтаар тендерийн баримт бичигт өөрчлөлт оруулах талаар судлалгүй дахин тендер зарласан зэрэг зөрчлийг дахин гаргахгүй байх талаар зохион байгуулалтын арга хэмжээ авч байна.</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lastRenderedPageBreak/>
              <w:t>06.</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lang w:val="mn-MN"/>
              </w:rPr>
            </w:pPr>
            <w:r w:rsidRPr="009619FA">
              <w:rPr>
                <w:rFonts w:ascii="Arial" w:eastAsia="Times New Roman" w:hAnsi="Arial" w:cs="Arial"/>
                <w:lang w:val="mn-MN"/>
              </w:rPr>
              <w:t>Ахмад настны нийгмийн хамгааллын хуулийн 8 дугаар зүйлийн 8.4, 8.5, 8.6 дахь заалтууд</w:t>
            </w:r>
          </w:p>
        </w:tc>
        <w:tc>
          <w:tcPr>
            <w:tcW w:w="8415" w:type="dxa"/>
            <w:vAlign w:val="center"/>
          </w:tcPr>
          <w:p w:rsidR="009F485F" w:rsidRPr="009619FA" w:rsidRDefault="009F485F" w:rsidP="00BD1C26">
            <w:pPr>
              <w:pStyle w:val="BodyText"/>
              <w:rPr>
                <w:rFonts w:ascii="Arial" w:hAnsi="Arial" w:cs="Arial"/>
                <w:sz w:val="22"/>
                <w:szCs w:val="22"/>
                <w:lang w:val="mn-MN"/>
              </w:rPr>
            </w:pPr>
            <w:r w:rsidRPr="009619FA">
              <w:rPr>
                <w:rFonts w:ascii="Arial" w:hAnsi="Arial" w:cs="Arial"/>
                <w:sz w:val="22"/>
                <w:szCs w:val="22"/>
                <w:lang w:val="mn-MN"/>
              </w:rPr>
              <w:t xml:space="preserve">        </w:t>
            </w:r>
            <w:r w:rsidRPr="009619FA">
              <w:rPr>
                <w:rFonts w:ascii="Arial" w:hAnsi="Arial" w:cs="Arial"/>
                <w:sz w:val="22"/>
                <w:szCs w:val="22"/>
              </w:rPr>
              <w:t>Ахмад настны нийгмийн хамгааллын тухай хуулийн 8 дугаар зүйлийн 8.4</w:t>
            </w:r>
            <w:r w:rsidRPr="009619FA">
              <w:rPr>
                <w:rFonts w:ascii="Arial" w:hAnsi="Arial" w:cs="Arial"/>
                <w:sz w:val="22"/>
                <w:szCs w:val="22"/>
                <w:lang w:val="mn-MN"/>
              </w:rPr>
              <w:t>-д</w:t>
            </w:r>
            <w:r w:rsidRPr="009619FA">
              <w:rPr>
                <w:rFonts w:ascii="Arial" w:hAnsi="Arial" w:cs="Arial"/>
                <w:sz w:val="22"/>
                <w:szCs w:val="22"/>
              </w:rPr>
              <w:t xml:space="preserve"> ”Аж ахуйн нэгж, байгууллага ажиллаж байсан ахмад настанд нэмэгдэл тэтгэвэр, тэтгэмж түлээ нүүрс олгох, хөдөлмөр, үйлдвэрлэл, үйлчилгээ эрхлэх, орон сууцтай болоход нь дэмжлэг үзүүлэх арга хэмжээ авна”, 8.5</w:t>
            </w:r>
            <w:r w:rsidRPr="009619FA">
              <w:rPr>
                <w:rFonts w:ascii="Arial" w:hAnsi="Arial" w:cs="Arial"/>
                <w:sz w:val="22"/>
                <w:szCs w:val="22"/>
                <w:lang w:val="mn-MN"/>
              </w:rPr>
              <w:t>-т</w:t>
            </w:r>
            <w:r w:rsidRPr="009619FA">
              <w:rPr>
                <w:rFonts w:ascii="Arial" w:hAnsi="Arial" w:cs="Arial"/>
                <w:sz w:val="22"/>
                <w:szCs w:val="22"/>
              </w:rPr>
              <w:t xml:space="preserve"> “8.4-т заасан заалтуудыг үйл ажиллагаандаа мөрдлөг болгон  ажиллаж </w:t>
            </w:r>
            <w:r w:rsidRPr="009619FA">
              <w:rPr>
                <w:rFonts w:ascii="Arial" w:hAnsi="Arial" w:cs="Arial"/>
                <w:sz w:val="22"/>
                <w:szCs w:val="22"/>
                <w:lang w:val="mn-MN"/>
              </w:rPr>
              <w:t>Сангийн сайдын тушаалаар давсан орлого, төсвийн хэмнэлтээс олгосон урамшууллаас ахмадуудад тусламж, тэтгэмж олгох, Сүүж-Уул нөхөн сэргээх амралтад амраах, Цагаан сар, Ахмадын өдрөөр хүлээн авч уулзан хүндэтгэл үзүү</w:t>
            </w:r>
            <w:r>
              <w:rPr>
                <w:rFonts w:ascii="Arial" w:hAnsi="Arial" w:cs="Arial"/>
                <w:sz w:val="22"/>
                <w:szCs w:val="22"/>
                <w:lang w:val="mn-MN"/>
              </w:rPr>
              <w:t>лэх ажил зохион байгуулан ажилласан.</w:t>
            </w:r>
            <w:r w:rsidRPr="009619FA">
              <w:rPr>
                <w:rFonts w:ascii="Arial" w:hAnsi="Arial" w:cs="Arial"/>
                <w:sz w:val="22"/>
                <w:szCs w:val="22"/>
                <w:lang w:val="mn-MN"/>
              </w:rPr>
              <w:t xml:space="preserve"> </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07.</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rPr>
            </w:pPr>
            <w:r w:rsidRPr="009619FA">
              <w:rPr>
                <w:rFonts w:ascii="Arial" w:eastAsia="Times New Roman" w:hAnsi="Arial" w:cs="Arial"/>
                <w:lang w:val="mn-MN"/>
              </w:rPr>
              <w:t xml:space="preserve">Засгийн газрын 1994 оны 76 дугаар тогтоолын 3 дугаар хавсралтаар батлагдсан “Хүндэтгэлийн зоог барих болон ёслол хүндэтгэлийн бусад арга хэмжээг зохион байгуулахад согтууруулах ундаа хэрэглэх журам” </w:t>
            </w:r>
          </w:p>
        </w:tc>
        <w:tc>
          <w:tcPr>
            <w:tcW w:w="8415" w:type="dxa"/>
            <w:vAlign w:val="center"/>
          </w:tcPr>
          <w:p w:rsidR="009F485F" w:rsidRPr="009619FA" w:rsidRDefault="009F485F" w:rsidP="009619FA">
            <w:pPr>
              <w:ind w:firstLine="630"/>
              <w:jc w:val="both"/>
              <w:rPr>
                <w:rFonts w:ascii="Arial" w:eastAsia="Times New Roman" w:hAnsi="Arial" w:cs="Arial"/>
                <w:b/>
              </w:rPr>
            </w:pPr>
            <w:r w:rsidRPr="009619FA">
              <w:rPr>
                <w:rFonts w:ascii="Arial" w:eastAsia="Times New Roman" w:hAnsi="Arial" w:cs="Arial"/>
              </w:rPr>
              <w:t>2015 он</w:t>
            </w:r>
            <w:r w:rsidRPr="009619FA">
              <w:rPr>
                <w:rFonts w:ascii="Arial" w:eastAsia="Times New Roman" w:hAnsi="Arial" w:cs="Arial"/>
                <w:lang w:val="mn-MN"/>
              </w:rPr>
              <w:t xml:space="preserve">д </w:t>
            </w:r>
            <w:r w:rsidRPr="009619FA">
              <w:rPr>
                <w:rFonts w:ascii="Arial" w:eastAsia="Times New Roman" w:hAnsi="Arial" w:cs="Arial"/>
              </w:rPr>
              <w:t>Засгийн гзарын 1994 оны 76 дугаар тогтоолын 3 дугаар хавсралтаар батлагдсан “Хүндэтгэлийн зоог барих болон ёслол хүндэтгэлийн бусад арга хэмжээг зохион байгуулахад согтууруулах ундаа хэрэглэх журам”-ын хэрэгжилтий</w:t>
            </w:r>
            <w:r w:rsidRPr="009619FA">
              <w:rPr>
                <w:rFonts w:ascii="Arial" w:eastAsia="Times New Roman" w:hAnsi="Arial" w:cs="Arial"/>
                <w:lang w:val="mn-MN"/>
              </w:rPr>
              <w:t>г</w:t>
            </w:r>
            <w:r w:rsidRPr="009619FA">
              <w:rPr>
                <w:rFonts w:ascii="Arial" w:eastAsia="Times New Roman" w:hAnsi="Arial" w:cs="Arial"/>
              </w:rPr>
              <w:t xml:space="preserve"> хангуулах зорилгоор аливаа тэмдэглэлт баяр, ёслолын арга хэмжээг согтууруулах ундааны зүйл</w:t>
            </w:r>
            <w:r w:rsidRPr="009619FA">
              <w:rPr>
                <w:rFonts w:ascii="Arial" w:eastAsia="Times New Roman" w:hAnsi="Arial" w:cs="Arial"/>
                <w:lang w:val="mn-MN"/>
              </w:rPr>
              <w:t xml:space="preserve">ийг </w:t>
            </w:r>
            <w:r w:rsidRPr="009619FA">
              <w:rPr>
                <w:rFonts w:ascii="Arial" w:eastAsia="Times New Roman" w:hAnsi="Arial" w:cs="Arial"/>
              </w:rPr>
              <w:t>хэрэглэхгүйгээр тэмдэглэ</w:t>
            </w:r>
            <w:r>
              <w:rPr>
                <w:rFonts w:ascii="Arial" w:eastAsia="Times New Roman" w:hAnsi="Arial" w:cs="Arial"/>
                <w:lang w:val="mn-MN"/>
              </w:rPr>
              <w:t>ж байна.</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08.</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rPr>
            </w:pPr>
            <w:r w:rsidRPr="009619FA">
              <w:rPr>
                <w:rFonts w:ascii="Arial" w:eastAsia="Times New Roman" w:hAnsi="Arial" w:cs="Arial"/>
                <w:lang w:val="mn-MN"/>
              </w:rPr>
              <w:t>Засгийн газрын 1995 оны 218 дугаар тогтоолын 1 дүгээр хавсралтаар батлагдсан “Төрийн албан хаагчид нөхөх төлбөр олгох журам”</w:t>
            </w:r>
          </w:p>
        </w:tc>
        <w:tc>
          <w:tcPr>
            <w:tcW w:w="8415" w:type="dxa"/>
            <w:vAlign w:val="center"/>
          </w:tcPr>
          <w:p w:rsidR="009F485F" w:rsidRPr="009619FA" w:rsidRDefault="009F485F" w:rsidP="009619FA">
            <w:pPr>
              <w:jc w:val="both"/>
              <w:rPr>
                <w:rFonts w:ascii="Arial" w:hAnsi="Arial" w:cs="Arial"/>
                <w:lang w:val="mn-MN"/>
              </w:rPr>
            </w:pPr>
            <w:r w:rsidRPr="009619FA">
              <w:rPr>
                <w:rFonts w:ascii="Arial" w:eastAsia="Times New Roman" w:hAnsi="Arial" w:cs="Arial"/>
              </w:rPr>
              <w:t>Төрийн албан хаагчид нөхө</w:t>
            </w:r>
            <w:r w:rsidRPr="009619FA">
              <w:rPr>
                <w:rFonts w:ascii="Arial" w:eastAsia="Times New Roman" w:hAnsi="Arial" w:cs="Arial"/>
                <w:lang w:val="mn-MN"/>
              </w:rPr>
              <w:t>х</w:t>
            </w:r>
            <w:r w:rsidRPr="009619FA">
              <w:rPr>
                <w:rFonts w:ascii="Arial" w:eastAsia="Times New Roman" w:hAnsi="Arial" w:cs="Arial"/>
              </w:rPr>
              <w:t xml:space="preserve"> төлбөр олгох журамд заасны дагуу</w:t>
            </w:r>
            <w:r w:rsidRPr="009619FA">
              <w:rPr>
                <w:rFonts w:ascii="Arial" w:eastAsia="Times New Roman" w:hAnsi="Arial" w:cs="Arial"/>
                <w:lang w:val="mn-MN"/>
              </w:rPr>
              <w:t xml:space="preserve"> төрийн албан хаагчийн</w:t>
            </w:r>
            <w:r w:rsidRPr="009619FA">
              <w:rPr>
                <w:rFonts w:ascii="Arial" w:eastAsia="Times New Roman" w:hAnsi="Arial" w:cs="Arial"/>
              </w:rPr>
              <w:t xml:space="preserve"> томилолтоор ажилласан албан хаагчд</w:t>
            </w:r>
            <w:r w:rsidRPr="009619FA">
              <w:rPr>
                <w:rFonts w:ascii="Arial" w:eastAsia="Times New Roman" w:hAnsi="Arial" w:cs="Arial"/>
                <w:lang w:val="mn-MN"/>
              </w:rPr>
              <w:t xml:space="preserve">ад гадаад томилолтын зардлыг олгохдоо Сангийн сайдын 2011 оны 188 дугаар тушаал, дотоод томилолтыг  </w:t>
            </w:r>
            <w:r w:rsidRPr="009619FA">
              <w:rPr>
                <w:rFonts w:ascii="Arial" w:eastAsia="Times New Roman" w:hAnsi="Arial" w:cs="Arial"/>
              </w:rPr>
              <w:t xml:space="preserve"> Сангийн сайдын 2011 оны 132 </w:t>
            </w:r>
            <w:r w:rsidRPr="009619FA">
              <w:rPr>
                <w:rFonts w:ascii="Arial" w:eastAsia="Times New Roman" w:hAnsi="Arial" w:cs="Arial"/>
                <w:lang w:val="mn-MN"/>
              </w:rPr>
              <w:t>дугаар</w:t>
            </w:r>
            <w:r w:rsidRPr="009619FA">
              <w:rPr>
                <w:rFonts w:ascii="Arial" w:eastAsia="Times New Roman" w:hAnsi="Arial" w:cs="Arial"/>
              </w:rPr>
              <w:t xml:space="preserve"> тушаалаар баталсан томилолтын зам хоног, байрны зардлын хэмжээг үндэслэн тооцо</w:t>
            </w:r>
            <w:r w:rsidRPr="009619FA">
              <w:rPr>
                <w:rFonts w:ascii="Arial" w:eastAsia="Times New Roman" w:hAnsi="Arial" w:cs="Arial"/>
                <w:lang w:val="mn-MN"/>
              </w:rPr>
              <w:t>н олгож томилолтоор ажилласан илтгэх хуудас, үр дүнг харгалзан холбогдох баримтыг үндэслэн олгож байна.Нэг</w:t>
            </w:r>
            <w:r w:rsidRPr="009619FA">
              <w:rPr>
                <w:rFonts w:ascii="Arial" w:eastAsia="Times New Roman" w:hAnsi="Arial" w:cs="Arial"/>
              </w:rPr>
              <w:t xml:space="preserve"> аймаг, </w:t>
            </w:r>
            <w:r w:rsidRPr="009619FA">
              <w:rPr>
                <w:rFonts w:ascii="Arial" w:eastAsia="Times New Roman" w:hAnsi="Arial" w:cs="Arial"/>
                <w:lang w:val="mn-MN"/>
              </w:rPr>
              <w:t xml:space="preserve">хотоос нөгөө аймаг, </w:t>
            </w:r>
            <w:r w:rsidRPr="009619FA">
              <w:rPr>
                <w:rFonts w:ascii="Arial" w:eastAsia="Times New Roman" w:hAnsi="Arial" w:cs="Arial"/>
              </w:rPr>
              <w:t>хотод,</w:t>
            </w:r>
            <w:r w:rsidRPr="009619FA">
              <w:rPr>
                <w:rFonts w:ascii="Arial" w:eastAsia="Times New Roman" w:hAnsi="Arial" w:cs="Arial"/>
                <w:lang w:val="mn-MN"/>
              </w:rPr>
              <w:t xml:space="preserve">түүнчлэн аймаг, хотын дотор шилжин ажиллаж байга алба хаагчдад уналга, ачаа тээшний зардлыг журамд заасны дагуу олгож байна. </w:t>
            </w:r>
            <w:r w:rsidRPr="009619FA">
              <w:rPr>
                <w:rFonts w:ascii="Arial" w:eastAsia="Times New Roman" w:hAnsi="Arial" w:cs="Arial"/>
              </w:rPr>
              <w:t xml:space="preserve"> </w:t>
            </w:r>
            <w:r w:rsidRPr="009619FA">
              <w:rPr>
                <w:rFonts w:ascii="Arial" w:hAnsi="Arial" w:cs="Arial"/>
                <w:lang w:val="mn-MN"/>
              </w:rPr>
              <w:t xml:space="preserve">Алба хаагчдад гадаад хэлний мэдлэг олгох, боловсролын зэрэг эзэмших, дээшлүүлэх болон хууль сахиулах үйл ажиллагааны чиглэлийн гадаад, дотоодын сургалтад тогтмол хамруулах ажлыг үе шаттайгаар зохион байгуулж  2015 оны 1-6 дугаар сард   маршалын сургуульд суралцаж байгаа 1 алба хаагчдад   5,4 сая төгрөгийн цалин, хууль сахиулахын их сургуулийн удирдлагын сургуульд суралцаж байгаа 11 алба хаагчдад 64,4 сая төгрөгийн цалин, , ОХУ, турк цагдаагийн академид суралцаж байгаа 81 сонсогчид 8,5 сая төгрөгийн цолны цалин, мөн бакалаврт суралцаж байгаа 14 алба хаагчдад 6,4 сая төгрөгийн цолны цалин, адьюнкурт суралцаж байгаа 10 алба хаагчдад 41,3 сая төгрөгийн цалин тус тус олгов. </w:t>
            </w:r>
          </w:p>
          <w:p w:rsidR="009F485F" w:rsidRDefault="009F485F" w:rsidP="009619FA">
            <w:pPr>
              <w:ind w:firstLine="432"/>
              <w:jc w:val="both"/>
              <w:rPr>
                <w:rFonts w:ascii="Arial" w:hAnsi="Arial" w:cs="Arial"/>
                <w:lang w:val="mn-MN"/>
              </w:rPr>
            </w:pPr>
            <w:r w:rsidRPr="009619FA">
              <w:rPr>
                <w:rFonts w:ascii="Arial" w:hAnsi="Arial" w:cs="Arial"/>
                <w:lang w:val="mn-MN"/>
              </w:rPr>
              <w:t xml:space="preserve">    Мөн суралцагчтай байгуулсан гэрээний дагуу 2015 оны 1-6 дугаар сард   алба хаагч, сонсогч нарт хувцасны хангалт олгож,  жилд ирэх, очих унааны зардалд 26,3 сая төгрөгийг олгож суралцахад нь дэмжлэг үзүүлсэн.</w:t>
            </w:r>
          </w:p>
          <w:p w:rsidR="009F485F" w:rsidRPr="009619FA" w:rsidRDefault="009F485F" w:rsidP="009619FA">
            <w:pPr>
              <w:ind w:firstLine="432"/>
              <w:jc w:val="both"/>
              <w:rPr>
                <w:rFonts w:ascii="Arial" w:eastAsia="Times New Roman" w:hAnsi="Arial" w:cs="Arial"/>
              </w:rPr>
            </w:pP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lastRenderedPageBreak/>
              <w:t>09.</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lang w:val="mn-MN"/>
              </w:rPr>
            </w:pPr>
            <w:r w:rsidRPr="009619FA">
              <w:rPr>
                <w:rFonts w:ascii="Arial" w:eastAsia="Times New Roman" w:hAnsi="Arial" w:cs="Arial"/>
                <w:lang w:val="mn-MN"/>
              </w:rPr>
              <w:t>Засгийн газрын 2002 оны “Төсвийн үр ашиггүй зардлыг бууруулах зарим арга хэмжээний тухай” 200 дугаар тогтоолын 5 дахь заалт</w:t>
            </w:r>
          </w:p>
        </w:tc>
        <w:tc>
          <w:tcPr>
            <w:tcW w:w="8415" w:type="dxa"/>
            <w:vAlign w:val="center"/>
          </w:tcPr>
          <w:p w:rsidR="009F485F" w:rsidRPr="009619FA" w:rsidRDefault="009F485F" w:rsidP="009619FA">
            <w:pPr>
              <w:ind w:firstLine="432"/>
              <w:jc w:val="both"/>
              <w:rPr>
                <w:rFonts w:ascii="Arial" w:eastAsia="Times New Roman" w:hAnsi="Arial" w:cs="Arial"/>
                <w:lang w:val="mn-MN"/>
              </w:rPr>
            </w:pPr>
            <w:r w:rsidRPr="009619FA">
              <w:rPr>
                <w:rFonts w:ascii="Arial" w:eastAsia="Times New Roman" w:hAnsi="Arial" w:cs="Arial"/>
              </w:rPr>
              <w:t>Засгийн газрын 2002 оны “Төсвийн үр ашиггүй зардлыг бууруулах зарим арга хэмжээний тухай” 200 дугаар тогтоолын 5 дахь заалт ”Яам</w:t>
            </w:r>
            <w:r w:rsidRPr="009619FA">
              <w:rPr>
                <w:rFonts w:ascii="Arial" w:eastAsia="Times New Roman" w:hAnsi="Arial" w:cs="Arial"/>
                <w:lang w:val="mn-MN"/>
              </w:rPr>
              <w:t>,</w:t>
            </w:r>
            <w:r w:rsidRPr="009619FA">
              <w:rPr>
                <w:rFonts w:ascii="Arial" w:eastAsia="Times New Roman" w:hAnsi="Arial" w:cs="Arial"/>
              </w:rPr>
              <w:t xml:space="preserve"> Засгийн газрын агентлаг, төсөвт байгууллагууд төв, орон нутгийн хэвлэл мэдээлэлийн хэрэгслээр дамжуулан төсвийн хөрөнгөөр олон нийтэд зайлшгүй мэдээлэх албан ёсны шийдвэр болон хууль тогтоомж хэрэгжүүлэхтэй холбогдсон мэдээлэлээс бусад өөрийн байгууллага, хамт олныг сурталчлах, танилцуулга явуулах, телевизийн шоу уралдаан, тэмцээн зохион байгуулахыг хориглоно ”</w:t>
            </w:r>
            <w:r w:rsidRPr="009619FA">
              <w:rPr>
                <w:rFonts w:ascii="Arial" w:eastAsia="Times New Roman" w:hAnsi="Arial" w:cs="Arial"/>
                <w:lang w:val="mn-MN"/>
              </w:rPr>
              <w:t xml:space="preserve"> гэж заасныг хэрэгжүүлэн </w:t>
            </w:r>
            <w:r w:rsidRPr="009619FA">
              <w:rPr>
                <w:rFonts w:ascii="Arial" w:eastAsia="Times New Roman" w:hAnsi="Arial" w:cs="Arial"/>
              </w:rPr>
              <w:t xml:space="preserve"> гэмт хэргээс урьдчилан сэргийлэх, ард иргэдэд хууль тогтоомжийн талаар мэдээ, мэдээлэл өгөх чиглэлээр олон нийтийн хэвлэл мэдээлэлийн байгууллагуудтай хамтран ажиллах гэрээ байгуулан</w:t>
            </w:r>
            <w:r w:rsidRPr="009619FA">
              <w:rPr>
                <w:rFonts w:ascii="Arial" w:eastAsia="Times New Roman" w:hAnsi="Arial" w:cs="Arial"/>
                <w:lang w:val="mn-MN"/>
              </w:rPr>
              <w:t xml:space="preserve"> ажиллаж байна. </w:t>
            </w:r>
            <w:r w:rsidRPr="009619FA">
              <w:rPr>
                <w:rFonts w:ascii="Arial" w:eastAsia="Times New Roman" w:hAnsi="Arial" w:cs="Arial"/>
              </w:rPr>
              <w:t xml:space="preserve"> </w:t>
            </w:r>
          </w:p>
        </w:tc>
      </w:tr>
      <w:tr w:rsidR="009F485F" w:rsidRPr="000326A9" w:rsidTr="009F485F">
        <w:tc>
          <w:tcPr>
            <w:tcW w:w="562" w:type="dxa"/>
            <w:vAlign w:val="center"/>
          </w:tcPr>
          <w:p w:rsidR="009F485F" w:rsidRPr="009619FA" w:rsidRDefault="009F485F" w:rsidP="009619FA">
            <w:pPr>
              <w:jc w:val="center"/>
              <w:rPr>
                <w:rFonts w:ascii="Arial" w:hAnsi="Arial" w:cs="Arial"/>
                <w:lang w:val="mn-MN"/>
              </w:rPr>
            </w:pPr>
            <w:r w:rsidRPr="009619FA">
              <w:rPr>
                <w:rFonts w:ascii="Arial" w:hAnsi="Arial" w:cs="Arial"/>
                <w:lang w:val="mn-MN"/>
              </w:rPr>
              <w:t>10.</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rPr>
            </w:pPr>
            <w:r w:rsidRPr="009619FA">
              <w:rPr>
                <w:rFonts w:ascii="Arial" w:eastAsia="Times New Roman" w:hAnsi="Arial" w:cs="Arial"/>
                <w:lang w:val="mn-MN"/>
              </w:rPr>
              <w:t>Засгийн газрын 1995 оны 96 дугаар “Төрийн албан хаагчид нэмэгдэл олгох тухай” тогтоолын 3 дахь заалт</w:t>
            </w:r>
          </w:p>
        </w:tc>
        <w:tc>
          <w:tcPr>
            <w:tcW w:w="8415" w:type="dxa"/>
            <w:vAlign w:val="center"/>
          </w:tcPr>
          <w:p w:rsidR="009F485F" w:rsidRPr="009619FA" w:rsidRDefault="009F485F" w:rsidP="009F485F">
            <w:pPr>
              <w:ind w:firstLine="432"/>
              <w:jc w:val="both"/>
              <w:rPr>
                <w:rFonts w:ascii="Arial" w:eastAsia="Times New Roman" w:hAnsi="Arial" w:cs="Arial"/>
              </w:rPr>
            </w:pPr>
            <w:r w:rsidRPr="009619FA">
              <w:rPr>
                <w:rFonts w:ascii="Arial" w:hAnsi="Arial" w:cs="Arial"/>
                <w:lang w:val="mn-MN"/>
              </w:rPr>
              <w:t xml:space="preserve"> Засгийн газрын 2014 оны 3 дугаар сарын 28-ны өдрийн “Цагдаагийн байгууллагын талаар авах зарим  арга хэмжээний тухай”   99 дүгээр тогтоолын дагуу цагдаагийн алба хаагчдад цол, төрийн алба хаасан хугацааны , онцгой нөхцлийн , зэргийн нэмэгдлийг олгож байна. </w:t>
            </w:r>
            <w:r w:rsidRPr="009619FA">
              <w:rPr>
                <w:rFonts w:ascii="Arial" w:eastAsia="Times New Roman" w:hAnsi="Arial" w:cs="Arial"/>
              </w:rPr>
              <w:t>Засгийн газрын 1995 оны 96 дугаар</w:t>
            </w:r>
            <w:r w:rsidRPr="009619FA">
              <w:rPr>
                <w:rFonts w:ascii="Arial" w:eastAsia="Times New Roman" w:hAnsi="Arial" w:cs="Arial"/>
                <w:lang w:val="mn-MN"/>
              </w:rPr>
              <w:t xml:space="preserve"> </w:t>
            </w:r>
            <w:r w:rsidRPr="009619FA">
              <w:rPr>
                <w:rFonts w:ascii="Arial" w:eastAsia="Times New Roman" w:hAnsi="Arial" w:cs="Arial"/>
              </w:rPr>
              <w:t xml:space="preserve"> “Төрийн албан хаагчид нэмэгдэл олгох тухай” тогтоолын 3 дахь заалт ”Төрийн албан хаагчид нэмэгдэл олгох бү</w:t>
            </w:r>
            <w:r w:rsidRPr="009619FA">
              <w:rPr>
                <w:rFonts w:ascii="Arial" w:eastAsia="Times New Roman" w:hAnsi="Arial" w:cs="Arial"/>
                <w:lang w:val="mn-MN"/>
              </w:rPr>
              <w:t>х</w:t>
            </w:r>
            <w:r w:rsidRPr="009619FA">
              <w:rPr>
                <w:rFonts w:ascii="Arial" w:eastAsia="Times New Roman" w:hAnsi="Arial" w:cs="Arial"/>
              </w:rPr>
              <w:t xml:space="preserve"> төрлийн нэмэгдлийн нийт хэмжээ нь төрийн тусгай албан хаагчийн хувьд түүний албан тушаалын сарын цалин, бүх төрлийн нэмэгдлийн дүнгийн 40 хувиас хэтрэхгүй байна” </w:t>
            </w:r>
            <w:r w:rsidRPr="009619FA">
              <w:rPr>
                <w:rFonts w:ascii="Arial" w:eastAsia="Times New Roman" w:hAnsi="Arial" w:cs="Arial"/>
                <w:lang w:val="mn-MN"/>
              </w:rPr>
              <w:t xml:space="preserve">гэж заасныг мөрдөхөд дээрх 99 тогтоолтой зөрчилдөж байгаа тул хэрэгжүүлэх боломжгүй байна. Иймд </w:t>
            </w:r>
            <w:r>
              <w:rPr>
                <w:rFonts w:ascii="Arial" w:eastAsia="Times New Roman" w:hAnsi="Arial" w:cs="Arial"/>
                <w:lang w:val="mn-MN"/>
              </w:rPr>
              <w:t xml:space="preserve">тогтоолд өөрчлөлт оруулах, хууль тогтоомжийн дагуу шийдвэрлүүлэх талаар ажил зохион байгуулан ажиллаж байна. </w:t>
            </w:r>
          </w:p>
        </w:tc>
      </w:tr>
      <w:tr w:rsidR="009F485F" w:rsidRPr="000326A9" w:rsidTr="009F485F">
        <w:tc>
          <w:tcPr>
            <w:tcW w:w="562" w:type="dxa"/>
            <w:vAlign w:val="center"/>
          </w:tcPr>
          <w:p w:rsidR="009F485F" w:rsidRPr="009619FA" w:rsidRDefault="009F485F" w:rsidP="009619FA">
            <w:pPr>
              <w:rPr>
                <w:rFonts w:ascii="Arial" w:hAnsi="Arial" w:cs="Arial"/>
                <w:lang w:val="mn-MN"/>
              </w:rPr>
            </w:pPr>
            <w:r w:rsidRPr="009619FA">
              <w:rPr>
                <w:rFonts w:ascii="Arial" w:hAnsi="Arial" w:cs="Arial"/>
                <w:lang w:val="mn-MN"/>
              </w:rPr>
              <w:t>11.</w:t>
            </w:r>
          </w:p>
        </w:tc>
        <w:tc>
          <w:tcPr>
            <w:tcW w:w="964" w:type="dxa"/>
            <w:tcBorders>
              <w:right w:val="single" w:sz="4" w:space="0" w:color="auto"/>
            </w:tcBorders>
            <w:vAlign w:val="center"/>
          </w:tcPr>
          <w:p w:rsidR="009F485F" w:rsidRPr="009619FA" w:rsidRDefault="009F485F" w:rsidP="009619FA">
            <w:pPr>
              <w:jc w:val="center"/>
              <w:rPr>
                <w:rFonts w:ascii="Arial" w:eastAsia="Times New Roman" w:hAnsi="Arial" w:cs="Arial"/>
                <w:lang w:val="mn-MN"/>
              </w:rPr>
            </w:pPr>
          </w:p>
        </w:tc>
        <w:tc>
          <w:tcPr>
            <w:tcW w:w="4590" w:type="dxa"/>
            <w:tcBorders>
              <w:left w:val="single" w:sz="4" w:space="0" w:color="auto"/>
            </w:tcBorders>
            <w:vAlign w:val="center"/>
          </w:tcPr>
          <w:p w:rsidR="009F485F" w:rsidRPr="009619FA" w:rsidRDefault="009F485F" w:rsidP="009619FA">
            <w:pPr>
              <w:pStyle w:val="ListParagraph"/>
              <w:numPr>
                <w:ilvl w:val="0"/>
                <w:numId w:val="7"/>
              </w:numPr>
              <w:jc w:val="both"/>
              <w:rPr>
                <w:rFonts w:ascii="Arial" w:eastAsia="Times New Roman" w:hAnsi="Arial" w:cs="Arial"/>
              </w:rPr>
            </w:pPr>
            <w:r w:rsidRPr="009619FA">
              <w:rPr>
                <w:rFonts w:ascii="Arial" w:eastAsia="Times New Roman" w:hAnsi="Arial" w:cs="Arial"/>
                <w:lang w:val="mn-MN"/>
              </w:rPr>
              <w:t>“Сангийн сайд, Хууль зүйн сайд, Гадаад харилцааны сайд, Байгаль орчин, ногоон хөгжлийн сайд нарын хамтарсан 2013 оны 08 дугаар сарын 07-ны өдрийн 178/А171/А64/А225 дугаар тушаалаар баталсан “Торгууль шийтгэврийн хуудас хэрэглэх журам”-ын 2.10 дахь заалт</w:t>
            </w:r>
          </w:p>
        </w:tc>
        <w:tc>
          <w:tcPr>
            <w:tcW w:w="8415" w:type="dxa"/>
            <w:vAlign w:val="center"/>
          </w:tcPr>
          <w:p w:rsidR="009F485F" w:rsidRPr="009619FA" w:rsidRDefault="009F485F" w:rsidP="009619FA">
            <w:pPr>
              <w:jc w:val="both"/>
              <w:rPr>
                <w:rFonts w:ascii="Arial" w:hAnsi="Arial" w:cs="Arial"/>
                <w:lang w:val="mn-MN"/>
              </w:rPr>
            </w:pPr>
            <w:r w:rsidRPr="009619FA">
              <w:rPr>
                <w:rFonts w:ascii="Arial" w:hAnsi="Arial" w:cs="Arial"/>
                <w:lang w:val="mn-MN"/>
              </w:rPr>
              <w:t xml:space="preserve">      Цагдаагийн алба хаагчид нь </w:t>
            </w:r>
            <w:r w:rsidRPr="009619FA">
              <w:rPr>
                <w:rFonts w:ascii="Arial" w:hAnsi="Arial" w:cs="Arial"/>
              </w:rPr>
              <w:t xml:space="preserve"> шийтгэвэр ,торгуулийн хуудас түүнийг хэрэглэх журмыг мөрдлөг болгон хэрэгжүүлэн ажиллаж </w:t>
            </w:r>
            <w:r w:rsidRPr="009619FA">
              <w:rPr>
                <w:rFonts w:ascii="Arial" w:hAnsi="Arial" w:cs="Arial"/>
                <w:lang w:val="mn-MN"/>
              </w:rPr>
              <w:t xml:space="preserve">захиргааны зөрчлийн тоо бүртгэгч захиргааны зөрчлийн сантай тулган гарын үсэг зурж баталгаажуулсан тохиолдолд алба хаагчийн үнэт цаасны үлдэгдлээс хасч тооцоо хийж байна. </w:t>
            </w:r>
            <w:r w:rsidRPr="009619FA">
              <w:rPr>
                <w:rFonts w:ascii="Arial" w:hAnsi="Arial" w:cs="Arial"/>
              </w:rPr>
              <w:t>Шийтгэвэр</w:t>
            </w:r>
            <w:r w:rsidRPr="009619FA">
              <w:rPr>
                <w:rFonts w:ascii="Arial" w:hAnsi="Arial" w:cs="Arial"/>
                <w:lang w:val="mn-MN"/>
              </w:rPr>
              <w:t>,</w:t>
            </w:r>
            <w:r w:rsidRPr="009619FA">
              <w:rPr>
                <w:rFonts w:ascii="Arial" w:hAnsi="Arial" w:cs="Arial"/>
              </w:rPr>
              <w:t xml:space="preserve"> торгуулийн хуудсыг торгууль ногдуулах эрх бүхий албан </w:t>
            </w:r>
            <w:proofErr w:type="gramStart"/>
            <w:r w:rsidRPr="009619FA">
              <w:rPr>
                <w:rFonts w:ascii="Arial" w:hAnsi="Arial" w:cs="Arial"/>
              </w:rPr>
              <w:t>тушаалтанд  өмнө</w:t>
            </w:r>
            <w:proofErr w:type="gramEnd"/>
            <w:r w:rsidRPr="009619FA">
              <w:rPr>
                <w:rFonts w:ascii="Arial" w:hAnsi="Arial" w:cs="Arial"/>
              </w:rPr>
              <w:t xml:space="preserve"> олгосон тооцоог хийж дууссаны дараа дарга, ахлах нягтлан бодогчийн цохолтоор </w:t>
            </w:r>
            <w:r w:rsidRPr="009619FA">
              <w:rPr>
                <w:rFonts w:ascii="Arial" w:hAnsi="Arial" w:cs="Arial"/>
                <w:lang w:val="mn-MN"/>
              </w:rPr>
              <w:t xml:space="preserve"> </w:t>
            </w:r>
            <w:r w:rsidRPr="009619FA">
              <w:rPr>
                <w:rFonts w:ascii="Arial" w:hAnsi="Arial" w:cs="Arial"/>
              </w:rPr>
              <w:t xml:space="preserve">шийтгэвэр торгуулийн хуудасны тоо ширхэг дугаарыг бичиж гарын үсэг зуруулан </w:t>
            </w:r>
            <w:r w:rsidRPr="009619FA">
              <w:rPr>
                <w:rFonts w:ascii="Arial" w:hAnsi="Arial" w:cs="Arial"/>
                <w:lang w:val="mn-MN"/>
              </w:rPr>
              <w:t xml:space="preserve">олгож байна. </w:t>
            </w:r>
          </w:p>
          <w:p w:rsidR="009F485F" w:rsidRPr="009619FA" w:rsidRDefault="009F485F" w:rsidP="009619FA">
            <w:pPr>
              <w:jc w:val="both"/>
              <w:rPr>
                <w:rFonts w:ascii="Arial" w:hAnsi="Arial" w:cs="Arial"/>
                <w:color w:val="000000"/>
                <w:lang w:val="mn-MN"/>
              </w:rPr>
            </w:pPr>
            <w:r w:rsidRPr="009619FA">
              <w:rPr>
                <w:rFonts w:ascii="Arial" w:hAnsi="Arial" w:cs="Arial"/>
                <w:lang w:val="mn-MN"/>
              </w:rPr>
              <w:t xml:space="preserve">            Цагдаагийн байгууллагуудад шийтгэвэр,</w:t>
            </w:r>
            <w:r w:rsidRPr="009619FA">
              <w:rPr>
                <w:rFonts w:ascii="Arial" w:hAnsi="Arial" w:cs="Arial"/>
              </w:rPr>
              <w:t xml:space="preserve"> торгуулийн хууд</w:t>
            </w:r>
            <w:r w:rsidRPr="009619FA">
              <w:rPr>
                <w:rFonts w:ascii="Arial" w:hAnsi="Arial" w:cs="Arial"/>
                <w:lang w:val="mn-MN"/>
              </w:rPr>
              <w:t>сыг</w:t>
            </w:r>
            <w:r w:rsidRPr="009619FA">
              <w:rPr>
                <w:rFonts w:ascii="Arial" w:hAnsi="Arial" w:cs="Arial"/>
              </w:rPr>
              <w:t xml:space="preserve"> Цагдаагийн ерөнхий газрын</w:t>
            </w:r>
            <w:r w:rsidRPr="009619FA">
              <w:rPr>
                <w:rFonts w:ascii="Arial" w:hAnsi="Arial" w:cs="Arial"/>
                <w:lang w:val="mn-MN"/>
              </w:rPr>
              <w:t xml:space="preserve"> </w:t>
            </w:r>
            <w:r w:rsidRPr="009619FA">
              <w:rPr>
                <w:rFonts w:ascii="Arial" w:hAnsi="Arial" w:cs="Arial"/>
              </w:rPr>
              <w:t xml:space="preserve">Санхүү </w:t>
            </w:r>
            <w:r w:rsidRPr="009619FA">
              <w:rPr>
                <w:rFonts w:ascii="Arial" w:hAnsi="Arial" w:cs="Arial"/>
                <w:lang w:val="mn-MN"/>
              </w:rPr>
              <w:t>хангамжийн</w:t>
            </w:r>
            <w:r w:rsidRPr="009619FA">
              <w:rPr>
                <w:rFonts w:ascii="Arial" w:hAnsi="Arial" w:cs="Arial"/>
              </w:rPr>
              <w:t xml:space="preserve"> газраас</w:t>
            </w:r>
            <w:r w:rsidRPr="009619FA">
              <w:rPr>
                <w:rFonts w:ascii="Arial" w:hAnsi="Arial" w:cs="Arial"/>
                <w:lang w:val="mn-MN"/>
              </w:rPr>
              <w:t xml:space="preserve"> олгож тухайн байгууллага  </w:t>
            </w:r>
            <w:r w:rsidRPr="009619FA">
              <w:rPr>
                <w:rFonts w:ascii="Arial" w:hAnsi="Arial" w:cs="Arial"/>
              </w:rPr>
              <w:t>үнэт цаас</w:t>
            </w:r>
            <w:r w:rsidRPr="009619FA">
              <w:rPr>
                <w:rFonts w:ascii="Arial" w:hAnsi="Arial" w:cs="Arial"/>
                <w:lang w:val="mn-MN"/>
              </w:rPr>
              <w:t>ны дансандаа бүртгэн авч, т</w:t>
            </w:r>
            <w:r w:rsidRPr="009619FA">
              <w:rPr>
                <w:rFonts w:ascii="Arial" w:hAnsi="Arial" w:cs="Arial"/>
                <w:color w:val="000000"/>
              </w:rPr>
              <w:t>оргох эрх бүхий алба хаагч</w:t>
            </w:r>
            <w:r w:rsidRPr="009619FA">
              <w:rPr>
                <w:rFonts w:ascii="Arial" w:hAnsi="Arial" w:cs="Arial"/>
                <w:color w:val="000000"/>
                <w:lang w:val="mn-MN"/>
              </w:rPr>
              <w:t>идтай сар бүр тооцоо хийж,</w:t>
            </w:r>
            <w:r w:rsidRPr="009619FA">
              <w:rPr>
                <w:rFonts w:ascii="Arial" w:hAnsi="Arial" w:cs="Arial"/>
                <w:color w:val="000000"/>
              </w:rPr>
              <w:t xml:space="preserve"> гар дээрхи үлдэгдлийг </w:t>
            </w:r>
            <w:r w:rsidRPr="009619FA">
              <w:rPr>
                <w:rFonts w:ascii="Arial" w:hAnsi="Arial" w:cs="Arial"/>
                <w:color w:val="000000"/>
                <w:lang w:val="mn-MN"/>
              </w:rPr>
              <w:t xml:space="preserve">тоолж </w:t>
            </w:r>
            <w:r w:rsidRPr="009619FA">
              <w:rPr>
                <w:rFonts w:ascii="Arial" w:hAnsi="Arial" w:cs="Arial"/>
                <w:color w:val="000000"/>
              </w:rPr>
              <w:t xml:space="preserve"> тулган баталгаажуулж байна.  </w:t>
            </w:r>
          </w:p>
          <w:p w:rsidR="009F485F" w:rsidRPr="009619FA" w:rsidRDefault="009F485F" w:rsidP="009619FA">
            <w:pPr>
              <w:jc w:val="both"/>
              <w:rPr>
                <w:rFonts w:ascii="Arial" w:hAnsi="Arial" w:cs="Arial"/>
                <w:lang w:val="mn-MN"/>
              </w:rPr>
            </w:pPr>
            <w:r w:rsidRPr="009619FA">
              <w:rPr>
                <w:rFonts w:ascii="Arial" w:hAnsi="Arial" w:cs="Arial"/>
                <w:lang w:val="mn-MN"/>
              </w:rPr>
              <w:t xml:space="preserve">          </w:t>
            </w:r>
            <w:r w:rsidRPr="009619FA">
              <w:rPr>
                <w:rFonts w:ascii="Arial" w:hAnsi="Arial" w:cs="Arial"/>
              </w:rPr>
              <w:t xml:space="preserve">ЦЕГ-ын </w:t>
            </w:r>
            <w:r w:rsidRPr="009619FA">
              <w:rPr>
                <w:rFonts w:ascii="Arial" w:hAnsi="Arial" w:cs="Arial"/>
                <w:lang w:val="mn-MN"/>
              </w:rPr>
              <w:t xml:space="preserve">Санхүү хангамжийн </w:t>
            </w:r>
            <w:proofErr w:type="gramStart"/>
            <w:r w:rsidRPr="009619FA">
              <w:rPr>
                <w:rFonts w:ascii="Arial" w:hAnsi="Arial" w:cs="Arial"/>
              </w:rPr>
              <w:t>газ</w:t>
            </w:r>
            <w:r w:rsidRPr="009619FA">
              <w:rPr>
                <w:rFonts w:ascii="Arial" w:hAnsi="Arial" w:cs="Arial"/>
                <w:lang w:val="mn-MN"/>
              </w:rPr>
              <w:t xml:space="preserve">рын </w:t>
            </w:r>
            <w:r w:rsidRPr="009619FA">
              <w:rPr>
                <w:rFonts w:ascii="Arial" w:hAnsi="Arial" w:cs="Arial"/>
              </w:rPr>
              <w:t xml:space="preserve"> эд</w:t>
            </w:r>
            <w:proofErr w:type="gramEnd"/>
            <w:r w:rsidRPr="009619FA">
              <w:rPr>
                <w:rFonts w:ascii="Arial" w:hAnsi="Arial" w:cs="Arial"/>
              </w:rPr>
              <w:t xml:space="preserve"> хариуцагчийн үнэт цаас тооцоот маягтны тайлан ,</w:t>
            </w:r>
            <w:r w:rsidRPr="009619FA">
              <w:rPr>
                <w:rFonts w:ascii="Arial" w:hAnsi="Arial" w:cs="Arial"/>
                <w:lang w:val="mn-MN"/>
              </w:rPr>
              <w:t xml:space="preserve"> </w:t>
            </w:r>
            <w:r w:rsidRPr="009619FA">
              <w:rPr>
                <w:rFonts w:ascii="Arial" w:hAnsi="Arial" w:cs="Arial"/>
              </w:rPr>
              <w:t>төсөвт төвлөрүүлсэн хүү торгуулийн орлогын дэлгэрэнгүй судалгаа, тасаг алба хаагчдын гар дээрхи шийтгэвэр, торг</w:t>
            </w:r>
            <w:r w:rsidRPr="009619FA">
              <w:rPr>
                <w:rFonts w:ascii="Arial" w:hAnsi="Arial" w:cs="Arial"/>
                <w:lang w:val="mn-MN"/>
              </w:rPr>
              <w:t>уу</w:t>
            </w:r>
            <w:r w:rsidRPr="009619FA">
              <w:rPr>
                <w:rFonts w:ascii="Arial" w:hAnsi="Arial" w:cs="Arial"/>
              </w:rPr>
              <w:t xml:space="preserve">лийн хуудасны тооцоог  сар бүр тогтмол </w:t>
            </w:r>
            <w:r w:rsidRPr="009619FA">
              <w:rPr>
                <w:rFonts w:ascii="Arial" w:hAnsi="Arial" w:cs="Arial"/>
                <w:lang w:val="mn-MN"/>
              </w:rPr>
              <w:t xml:space="preserve">гаргаж </w:t>
            </w:r>
            <w:r w:rsidRPr="009619FA">
              <w:rPr>
                <w:rFonts w:ascii="Arial" w:hAnsi="Arial" w:cs="Arial"/>
              </w:rPr>
              <w:t xml:space="preserve"> хэвшсэн болно. </w:t>
            </w:r>
          </w:p>
          <w:p w:rsidR="009F485F" w:rsidRPr="009619FA" w:rsidRDefault="009F485F" w:rsidP="009619FA">
            <w:pPr>
              <w:ind w:firstLine="432"/>
              <w:jc w:val="both"/>
              <w:rPr>
                <w:rFonts w:ascii="Arial" w:eastAsia="Times New Roman" w:hAnsi="Arial" w:cs="Arial"/>
              </w:rPr>
            </w:pPr>
            <w:r w:rsidRPr="009619FA">
              <w:rPr>
                <w:rFonts w:ascii="Arial" w:eastAsia="Times New Roman" w:hAnsi="Arial" w:cs="Arial"/>
              </w:rPr>
              <w:t xml:space="preserve">Сангийн сайд, Хууль зүйн сайд, Гадаад харилцааны сайд, Байгаль орчин, ногоон хөгжлийн сайд нарын хамтарсан 2013 оны 08 дугаар сарын 07-ны өдрийн 178/А171/А64/А225 дугаар тушаалаар баталсан “Торгууль, шийтгэврийн хуудас хэрэглэх журам”-ын 2.10 дахь заалт “Торгууль шийтгэвэр ногдуулсан албан тушаалтан хуудсыг тэмдэг дарж , гарын үсэг /гарын үсгийн </w:t>
            </w:r>
            <w:r w:rsidRPr="009619FA">
              <w:rPr>
                <w:rFonts w:ascii="Arial" w:eastAsia="Times New Roman" w:hAnsi="Arial" w:cs="Arial"/>
              </w:rPr>
              <w:lastRenderedPageBreak/>
              <w:t>тайлал/</w:t>
            </w:r>
            <w:r w:rsidRPr="009619FA">
              <w:rPr>
                <w:rFonts w:ascii="Arial" w:eastAsia="Times New Roman" w:hAnsi="Arial" w:cs="Arial"/>
                <w:lang w:val="mn-MN"/>
              </w:rPr>
              <w:t>-</w:t>
            </w:r>
            <w:r w:rsidRPr="009619FA">
              <w:rPr>
                <w:rFonts w:ascii="Arial" w:eastAsia="Times New Roman" w:hAnsi="Arial" w:cs="Arial"/>
              </w:rPr>
              <w:t>ээр баталгаажуулсан байна”</w:t>
            </w:r>
            <w:r w:rsidRPr="009619FA">
              <w:rPr>
                <w:rFonts w:ascii="Arial" w:eastAsia="Times New Roman" w:hAnsi="Arial" w:cs="Arial"/>
                <w:lang w:val="mn-MN"/>
              </w:rPr>
              <w:t xml:space="preserve"> гэж заасныг </w:t>
            </w:r>
            <w:r w:rsidRPr="009619FA">
              <w:rPr>
                <w:rFonts w:ascii="Arial" w:eastAsia="Times New Roman" w:hAnsi="Arial" w:cs="Arial"/>
              </w:rPr>
              <w:t xml:space="preserve"> хэрэгжүүлж,  хуудас бүр дээр санхүүгийн тэмдэг дарж, торгууль шийтгэвэр ногдуулсан он сар өдөр, холбогдох хуулийн зүйл заалт нэг бүрийг бичиж, гарын үсгээр баталгаажуулан</w:t>
            </w:r>
            <w:r w:rsidRPr="009619FA">
              <w:rPr>
                <w:rFonts w:ascii="Arial" w:eastAsia="Times New Roman" w:hAnsi="Arial" w:cs="Arial"/>
                <w:lang w:val="mn-MN"/>
              </w:rPr>
              <w:t xml:space="preserve"> ажиллаж байна.</w:t>
            </w:r>
            <w:r w:rsidRPr="009619FA">
              <w:rPr>
                <w:rFonts w:ascii="Arial" w:eastAsia="Times New Roman" w:hAnsi="Arial" w:cs="Arial"/>
              </w:rPr>
              <w:t xml:space="preserve"> </w:t>
            </w:r>
          </w:p>
        </w:tc>
      </w:tr>
    </w:tbl>
    <w:p w:rsidR="00A826AA" w:rsidRPr="000326A9" w:rsidRDefault="00A826AA" w:rsidP="00A826AA">
      <w:pPr>
        <w:spacing w:after="0" w:line="240" w:lineRule="auto"/>
        <w:jc w:val="both"/>
        <w:rPr>
          <w:rFonts w:ascii="Arial" w:hAnsi="Arial" w:cs="Arial"/>
          <w:lang w:val="mn-MN"/>
        </w:rPr>
      </w:pPr>
    </w:p>
    <w:p w:rsidR="009F485F" w:rsidRDefault="009F485F" w:rsidP="009F485F">
      <w:pPr>
        <w:spacing w:after="0" w:line="240" w:lineRule="auto"/>
        <w:jc w:val="both"/>
        <w:rPr>
          <w:rFonts w:ascii="Arial" w:hAnsi="Arial" w:cs="Arial"/>
          <w:lang w:val="mn-MN"/>
        </w:rPr>
      </w:pPr>
      <w:r>
        <w:rPr>
          <w:rFonts w:ascii="Arial" w:hAnsi="Arial" w:cs="Arial"/>
          <w:lang w:val="mn-MN"/>
        </w:rPr>
        <w:t xml:space="preserve">                                                                   </w:t>
      </w:r>
    </w:p>
    <w:p w:rsidR="009F485F" w:rsidRDefault="009F485F" w:rsidP="009F485F">
      <w:pPr>
        <w:spacing w:after="0" w:line="240" w:lineRule="auto"/>
        <w:jc w:val="both"/>
        <w:rPr>
          <w:rFonts w:ascii="Arial" w:hAnsi="Arial" w:cs="Arial"/>
          <w:lang w:val="mn-MN"/>
        </w:rPr>
      </w:pPr>
    </w:p>
    <w:p w:rsidR="009F485F" w:rsidRDefault="009F485F" w:rsidP="009F485F">
      <w:pPr>
        <w:spacing w:after="0" w:line="240" w:lineRule="auto"/>
        <w:jc w:val="both"/>
        <w:rPr>
          <w:rFonts w:ascii="Arial" w:hAnsi="Arial" w:cs="Arial"/>
          <w:lang w:val="mn-MN"/>
        </w:rPr>
      </w:pPr>
    </w:p>
    <w:p w:rsidR="00A826AA" w:rsidRPr="009F485F" w:rsidRDefault="009F485F" w:rsidP="009F485F">
      <w:pPr>
        <w:spacing w:after="0" w:line="240" w:lineRule="auto"/>
        <w:jc w:val="both"/>
        <w:rPr>
          <w:rFonts w:ascii="Arial" w:hAnsi="Arial" w:cs="Arial"/>
          <w:lang w:val="mn-MN"/>
        </w:rPr>
      </w:pPr>
      <w:r>
        <w:rPr>
          <w:rFonts w:ascii="Arial" w:hAnsi="Arial" w:cs="Arial"/>
          <w:lang w:val="mn-MN"/>
        </w:rPr>
        <w:t xml:space="preserve">                                                                                      САНХҮҮ, ХАНГАМЖИЙН ГАЗАР.</w:t>
      </w:r>
    </w:p>
    <w:p w:rsidR="00A826AA" w:rsidRPr="000326A9" w:rsidRDefault="00A826AA" w:rsidP="00A826AA">
      <w:pPr>
        <w:spacing w:after="0" w:line="240" w:lineRule="auto"/>
        <w:ind w:firstLine="1440"/>
        <w:jc w:val="both"/>
        <w:rPr>
          <w:rFonts w:ascii="Arial" w:hAnsi="Arial" w:cs="Arial"/>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8863AC" w:rsidRDefault="008863AC" w:rsidP="008863AC">
      <w:pPr>
        <w:pStyle w:val="NormalWeb"/>
        <w:rPr>
          <w:rFonts w:ascii="Tahoma" w:hAnsi="Tahoma" w:cs="Tahoma"/>
          <w:lang/>
        </w:rPr>
      </w:pPr>
      <w:r>
        <w:rPr>
          <w:rFonts w:ascii="Tahoma" w:hAnsi="Tahoma" w:cs="Tahoma"/>
          <w:lang/>
        </w:rPr>
        <w:t>Хууль зүйн сайдын 2015 оны 04 дүгээр сарын 23-ны өдрийн А/84 дүгээр тушаалаар батлагдсан удирдамжийн дагуу Цагдаагийн ерөнхий газарт Дотоод аудит болон чиг үүргийн үнэлгээ хийх ажлыг 2015 оны 04 дүгээр сарын 27-ны өдрөөс 05 дугаар сарын 30-ны өдрийн хооронд хийж гүйцэтгэлээ.</w:t>
      </w:r>
    </w:p>
    <w:p w:rsidR="008863AC" w:rsidRDefault="008863AC" w:rsidP="008863AC">
      <w:pPr>
        <w:pStyle w:val="NormalWeb"/>
        <w:rPr>
          <w:rFonts w:ascii="Tahoma" w:hAnsi="Tahoma" w:cs="Tahoma"/>
          <w:lang/>
        </w:rPr>
      </w:pPr>
      <w:hyperlink r:id="rId6" w:tgtFrame="_blank" w:history="1">
        <w:proofErr w:type="gramStart"/>
        <w:r>
          <w:rPr>
            <w:rStyle w:val="Hyperlink"/>
            <w:rFonts w:ascii="Tahoma" w:hAnsi="Tahoma" w:cs="Tahoma"/>
            <w:lang/>
          </w:rPr>
          <w:t>Дэлгэрэнгүйг энд дарж үзнэ үү.</w:t>
        </w:r>
        <w:proofErr w:type="gramEnd"/>
      </w:hyperlink>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Default="00C328D8" w:rsidP="00A826AA">
      <w:pPr>
        <w:spacing w:after="0" w:line="240" w:lineRule="auto"/>
        <w:ind w:firstLine="1440"/>
        <w:jc w:val="both"/>
        <w:rPr>
          <w:rFonts w:ascii="Arial" w:hAnsi="Arial" w:cs="Arial"/>
          <w:lang w:val="mn-MN"/>
        </w:rPr>
      </w:pPr>
    </w:p>
    <w:p w:rsidR="00C328D8" w:rsidRPr="000326A9" w:rsidRDefault="00C328D8" w:rsidP="00A826AA">
      <w:pPr>
        <w:spacing w:after="0" w:line="240" w:lineRule="auto"/>
        <w:ind w:firstLine="1440"/>
        <w:jc w:val="both"/>
        <w:rPr>
          <w:rFonts w:ascii="Arial" w:hAnsi="Arial" w:cs="Arial"/>
        </w:rPr>
      </w:pPr>
    </w:p>
    <w:p w:rsidR="00A826AA" w:rsidRDefault="00A826AA" w:rsidP="00A826AA">
      <w:pPr>
        <w:spacing w:after="0" w:line="240" w:lineRule="auto"/>
        <w:jc w:val="center"/>
        <w:rPr>
          <w:rFonts w:ascii="Arial" w:eastAsia="Times New Roman" w:hAnsi="Arial" w:cs="Arial"/>
          <w:lang w:val="mn-MN"/>
        </w:rPr>
      </w:pPr>
    </w:p>
    <w:p w:rsidR="00A826AA" w:rsidRPr="0088142B" w:rsidRDefault="00A826AA" w:rsidP="00A826AA">
      <w:pPr>
        <w:spacing w:after="0" w:line="240" w:lineRule="auto"/>
        <w:ind w:firstLine="1440"/>
        <w:jc w:val="both"/>
        <w:rPr>
          <w:rFonts w:ascii="Arial" w:hAnsi="Arial" w:cs="Arial"/>
        </w:rPr>
      </w:pPr>
    </w:p>
    <w:p w:rsidR="0057587F" w:rsidRDefault="0057587F" w:rsidP="0057587F">
      <w:pPr>
        <w:rPr>
          <w:rFonts w:ascii="Arial Mon" w:hAnsi="Arial Mon"/>
          <w:lang w:val="mn-MN"/>
        </w:rPr>
      </w:pPr>
    </w:p>
    <w:p w:rsidR="009F485F" w:rsidRDefault="009F485F" w:rsidP="0057587F">
      <w:pPr>
        <w:rPr>
          <w:rFonts w:ascii="Arial Mon" w:hAnsi="Arial Mon"/>
          <w:lang w:val="mn-MN"/>
        </w:rPr>
      </w:pPr>
    </w:p>
    <w:p w:rsidR="009F485F" w:rsidRDefault="009F485F" w:rsidP="0057587F">
      <w:pPr>
        <w:rPr>
          <w:rFonts w:ascii="Arial Mon" w:hAnsi="Arial Mon"/>
          <w:lang w:val="mn-MN"/>
        </w:rPr>
      </w:pPr>
    </w:p>
    <w:p w:rsidR="009F485F" w:rsidRDefault="009F485F" w:rsidP="0057587F">
      <w:pPr>
        <w:rPr>
          <w:rFonts w:ascii="Arial Mon" w:hAnsi="Arial Mon"/>
          <w:lang w:val="mn-MN"/>
        </w:rPr>
      </w:pPr>
    </w:p>
    <w:p w:rsidR="009F485F" w:rsidRDefault="009F485F" w:rsidP="0057587F">
      <w:pPr>
        <w:rPr>
          <w:rFonts w:ascii="Arial Mon" w:hAnsi="Arial Mon"/>
          <w:lang w:val="mn-MN"/>
        </w:rPr>
      </w:pPr>
    </w:p>
    <w:sectPr w:rsidR="009F485F" w:rsidSect="00715B49">
      <w:pgSz w:w="15840" w:h="12240" w:orient="landscape"/>
      <w:pgMar w:top="630" w:right="630"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8000022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5BD"/>
    <w:multiLevelType w:val="hybridMultilevel"/>
    <w:tmpl w:val="9056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77A49"/>
    <w:multiLevelType w:val="hybridMultilevel"/>
    <w:tmpl w:val="02C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95E5F"/>
    <w:multiLevelType w:val="hybridMultilevel"/>
    <w:tmpl w:val="FBC667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B27F9"/>
    <w:multiLevelType w:val="hybridMultilevel"/>
    <w:tmpl w:val="E5021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43825"/>
    <w:multiLevelType w:val="hybridMultilevel"/>
    <w:tmpl w:val="CB0E5E3A"/>
    <w:lvl w:ilvl="0" w:tplc="F6F0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111E0"/>
    <w:multiLevelType w:val="hybridMultilevel"/>
    <w:tmpl w:val="02C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A099B"/>
    <w:multiLevelType w:val="hybridMultilevel"/>
    <w:tmpl w:val="F4282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useFELayout/>
  </w:compat>
  <w:rsids>
    <w:rsidRoot w:val="00826632"/>
    <w:rsid w:val="000144C3"/>
    <w:rsid w:val="0003485A"/>
    <w:rsid w:val="00053648"/>
    <w:rsid w:val="00063A37"/>
    <w:rsid w:val="000659EA"/>
    <w:rsid w:val="00075F05"/>
    <w:rsid w:val="000925B5"/>
    <w:rsid w:val="000C3438"/>
    <w:rsid w:val="000C6BAC"/>
    <w:rsid w:val="000E26CD"/>
    <w:rsid w:val="000F1609"/>
    <w:rsid w:val="000F5B16"/>
    <w:rsid w:val="000F722E"/>
    <w:rsid w:val="0010187C"/>
    <w:rsid w:val="00116380"/>
    <w:rsid w:val="00116B99"/>
    <w:rsid w:val="00127445"/>
    <w:rsid w:val="001352F5"/>
    <w:rsid w:val="001531E2"/>
    <w:rsid w:val="00161A80"/>
    <w:rsid w:val="00163775"/>
    <w:rsid w:val="00170B4A"/>
    <w:rsid w:val="00187F12"/>
    <w:rsid w:val="00190773"/>
    <w:rsid w:val="00190EFE"/>
    <w:rsid w:val="001920F6"/>
    <w:rsid w:val="00195C66"/>
    <w:rsid w:val="001B15ED"/>
    <w:rsid w:val="001B5A74"/>
    <w:rsid w:val="001B7962"/>
    <w:rsid w:val="001C4EFA"/>
    <w:rsid w:val="001C64E8"/>
    <w:rsid w:val="001D2827"/>
    <w:rsid w:val="001D3D73"/>
    <w:rsid w:val="001E6A98"/>
    <w:rsid w:val="001F0A65"/>
    <w:rsid w:val="001F79BC"/>
    <w:rsid w:val="00200DA6"/>
    <w:rsid w:val="00217C5F"/>
    <w:rsid w:val="00217C86"/>
    <w:rsid w:val="00221BAD"/>
    <w:rsid w:val="00241EF7"/>
    <w:rsid w:val="002425D3"/>
    <w:rsid w:val="0024640F"/>
    <w:rsid w:val="00253347"/>
    <w:rsid w:val="00262873"/>
    <w:rsid w:val="00267E8F"/>
    <w:rsid w:val="00270B92"/>
    <w:rsid w:val="002843B6"/>
    <w:rsid w:val="00292B5C"/>
    <w:rsid w:val="0029640A"/>
    <w:rsid w:val="002C11DA"/>
    <w:rsid w:val="002C129C"/>
    <w:rsid w:val="002C4E18"/>
    <w:rsid w:val="002D1979"/>
    <w:rsid w:val="00300178"/>
    <w:rsid w:val="00300B5E"/>
    <w:rsid w:val="00303EED"/>
    <w:rsid w:val="00312D75"/>
    <w:rsid w:val="003378AE"/>
    <w:rsid w:val="003452C0"/>
    <w:rsid w:val="003551D3"/>
    <w:rsid w:val="00371770"/>
    <w:rsid w:val="003864D3"/>
    <w:rsid w:val="0038721A"/>
    <w:rsid w:val="00387C39"/>
    <w:rsid w:val="00394E66"/>
    <w:rsid w:val="0039694C"/>
    <w:rsid w:val="003B52C2"/>
    <w:rsid w:val="003C3346"/>
    <w:rsid w:val="003C76F7"/>
    <w:rsid w:val="003D2640"/>
    <w:rsid w:val="003E6C71"/>
    <w:rsid w:val="00400B90"/>
    <w:rsid w:val="00403C11"/>
    <w:rsid w:val="00413ECB"/>
    <w:rsid w:val="004355D9"/>
    <w:rsid w:val="004369BF"/>
    <w:rsid w:val="00444CF4"/>
    <w:rsid w:val="0045005D"/>
    <w:rsid w:val="0046312B"/>
    <w:rsid w:val="00475507"/>
    <w:rsid w:val="004777E5"/>
    <w:rsid w:val="00490D4E"/>
    <w:rsid w:val="004A2B22"/>
    <w:rsid w:val="004B5D1F"/>
    <w:rsid w:val="0050083E"/>
    <w:rsid w:val="00514848"/>
    <w:rsid w:val="00517B6A"/>
    <w:rsid w:val="00522617"/>
    <w:rsid w:val="00525D43"/>
    <w:rsid w:val="00531815"/>
    <w:rsid w:val="00537267"/>
    <w:rsid w:val="00542EFE"/>
    <w:rsid w:val="00554967"/>
    <w:rsid w:val="00560EF2"/>
    <w:rsid w:val="00562B7D"/>
    <w:rsid w:val="00571D33"/>
    <w:rsid w:val="00572F2B"/>
    <w:rsid w:val="0057587F"/>
    <w:rsid w:val="00576604"/>
    <w:rsid w:val="005835FD"/>
    <w:rsid w:val="00586BCC"/>
    <w:rsid w:val="005A1DB1"/>
    <w:rsid w:val="005A5AD0"/>
    <w:rsid w:val="005A7BC1"/>
    <w:rsid w:val="005F1788"/>
    <w:rsid w:val="005F3046"/>
    <w:rsid w:val="005F51C4"/>
    <w:rsid w:val="006043EC"/>
    <w:rsid w:val="00605EB1"/>
    <w:rsid w:val="006137CD"/>
    <w:rsid w:val="00624A7E"/>
    <w:rsid w:val="00630B88"/>
    <w:rsid w:val="006357C0"/>
    <w:rsid w:val="006455B1"/>
    <w:rsid w:val="006515F8"/>
    <w:rsid w:val="006520F5"/>
    <w:rsid w:val="00661BCD"/>
    <w:rsid w:val="006633A5"/>
    <w:rsid w:val="00673A6F"/>
    <w:rsid w:val="00674AEB"/>
    <w:rsid w:val="0069176C"/>
    <w:rsid w:val="006925B2"/>
    <w:rsid w:val="00694C38"/>
    <w:rsid w:val="006B20BD"/>
    <w:rsid w:val="006C210F"/>
    <w:rsid w:val="006C6731"/>
    <w:rsid w:val="006D65C9"/>
    <w:rsid w:val="007033E6"/>
    <w:rsid w:val="007074AF"/>
    <w:rsid w:val="00715B49"/>
    <w:rsid w:val="00715B5D"/>
    <w:rsid w:val="0071632D"/>
    <w:rsid w:val="007305CC"/>
    <w:rsid w:val="00737A56"/>
    <w:rsid w:val="007460C8"/>
    <w:rsid w:val="00754BAA"/>
    <w:rsid w:val="00770C6D"/>
    <w:rsid w:val="00772025"/>
    <w:rsid w:val="00774572"/>
    <w:rsid w:val="007A3B61"/>
    <w:rsid w:val="007C741F"/>
    <w:rsid w:val="007C754E"/>
    <w:rsid w:val="007E399C"/>
    <w:rsid w:val="007F1133"/>
    <w:rsid w:val="007F5C92"/>
    <w:rsid w:val="007F5DF8"/>
    <w:rsid w:val="007F709B"/>
    <w:rsid w:val="00807D88"/>
    <w:rsid w:val="00826632"/>
    <w:rsid w:val="00826B42"/>
    <w:rsid w:val="00837FF0"/>
    <w:rsid w:val="0084287F"/>
    <w:rsid w:val="008436B6"/>
    <w:rsid w:val="00845B66"/>
    <w:rsid w:val="008501FF"/>
    <w:rsid w:val="00850E50"/>
    <w:rsid w:val="008615C0"/>
    <w:rsid w:val="00874CFB"/>
    <w:rsid w:val="00877540"/>
    <w:rsid w:val="0088142B"/>
    <w:rsid w:val="008847D8"/>
    <w:rsid w:val="008863AC"/>
    <w:rsid w:val="008A0B56"/>
    <w:rsid w:val="008A50C5"/>
    <w:rsid w:val="008A6F54"/>
    <w:rsid w:val="008B7274"/>
    <w:rsid w:val="008B7368"/>
    <w:rsid w:val="008C7CBE"/>
    <w:rsid w:val="008E46AF"/>
    <w:rsid w:val="008F02C1"/>
    <w:rsid w:val="00903419"/>
    <w:rsid w:val="00917899"/>
    <w:rsid w:val="009201CB"/>
    <w:rsid w:val="0092243E"/>
    <w:rsid w:val="009328D8"/>
    <w:rsid w:val="00933FDF"/>
    <w:rsid w:val="00934C9A"/>
    <w:rsid w:val="009438E3"/>
    <w:rsid w:val="009619FA"/>
    <w:rsid w:val="00961B65"/>
    <w:rsid w:val="00967EDE"/>
    <w:rsid w:val="009813A8"/>
    <w:rsid w:val="00991FBF"/>
    <w:rsid w:val="00994B31"/>
    <w:rsid w:val="009A14A0"/>
    <w:rsid w:val="009A3828"/>
    <w:rsid w:val="009A4B09"/>
    <w:rsid w:val="009B43A6"/>
    <w:rsid w:val="009C2EFE"/>
    <w:rsid w:val="009E3CE9"/>
    <w:rsid w:val="009E4830"/>
    <w:rsid w:val="009F14C0"/>
    <w:rsid w:val="009F485F"/>
    <w:rsid w:val="009F74AE"/>
    <w:rsid w:val="00A1165C"/>
    <w:rsid w:val="00A142A8"/>
    <w:rsid w:val="00A143BD"/>
    <w:rsid w:val="00A14CA6"/>
    <w:rsid w:val="00A42633"/>
    <w:rsid w:val="00A53B01"/>
    <w:rsid w:val="00A719F0"/>
    <w:rsid w:val="00A826AA"/>
    <w:rsid w:val="00A829DD"/>
    <w:rsid w:val="00A94B6D"/>
    <w:rsid w:val="00AB1D92"/>
    <w:rsid w:val="00AB5692"/>
    <w:rsid w:val="00AB602C"/>
    <w:rsid w:val="00AB71F4"/>
    <w:rsid w:val="00AC71A6"/>
    <w:rsid w:val="00AD209E"/>
    <w:rsid w:val="00AF1C34"/>
    <w:rsid w:val="00B001BB"/>
    <w:rsid w:val="00B009DE"/>
    <w:rsid w:val="00B022BA"/>
    <w:rsid w:val="00B13A2F"/>
    <w:rsid w:val="00B242FA"/>
    <w:rsid w:val="00B25B4A"/>
    <w:rsid w:val="00B31218"/>
    <w:rsid w:val="00B33EE7"/>
    <w:rsid w:val="00B5089C"/>
    <w:rsid w:val="00B814DD"/>
    <w:rsid w:val="00B852AD"/>
    <w:rsid w:val="00BD1C26"/>
    <w:rsid w:val="00BD306F"/>
    <w:rsid w:val="00BD397D"/>
    <w:rsid w:val="00BF5775"/>
    <w:rsid w:val="00BF7D9E"/>
    <w:rsid w:val="00BF7E77"/>
    <w:rsid w:val="00C07348"/>
    <w:rsid w:val="00C1423C"/>
    <w:rsid w:val="00C328D8"/>
    <w:rsid w:val="00C51C61"/>
    <w:rsid w:val="00C5225A"/>
    <w:rsid w:val="00C538BD"/>
    <w:rsid w:val="00C621AF"/>
    <w:rsid w:val="00C75FC6"/>
    <w:rsid w:val="00C77017"/>
    <w:rsid w:val="00C80960"/>
    <w:rsid w:val="00C97EEA"/>
    <w:rsid w:val="00CB3A43"/>
    <w:rsid w:val="00CC193A"/>
    <w:rsid w:val="00CC5814"/>
    <w:rsid w:val="00CD665C"/>
    <w:rsid w:val="00CE40CC"/>
    <w:rsid w:val="00D0461E"/>
    <w:rsid w:val="00D107D3"/>
    <w:rsid w:val="00D1199A"/>
    <w:rsid w:val="00D1517C"/>
    <w:rsid w:val="00D207BD"/>
    <w:rsid w:val="00D27F58"/>
    <w:rsid w:val="00D35943"/>
    <w:rsid w:val="00D3734F"/>
    <w:rsid w:val="00D42A89"/>
    <w:rsid w:val="00D46260"/>
    <w:rsid w:val="00D533A0"/>
    <w:rsid w:val="00D53EE4"/>
    <w:rsid w:val="00D55087"/>
    <w:rsid w:val="00D6147C"/>
    <w:rsid w:val="00D64355"/>
    <w:rsid w:val="00D649DC"/>
    <w:rsid w:val="00D657A4"/>
    <w:rsid w:val="00D66633"/>
    <w:rsid w:val="00D74E87"/>
    <w:rsid w:val="00D83197"/>
    <w:rsid w:val="00D86C0E"/>
    <w:rsid w:val="00D90180"/>
    <w:rsid w:val="00D96B70"/>
    <w:rsid w:val="00DA5079"/>
    <w:rsid w:val="00DB3F73"/>
    <w:rsid w:val="00DB444F"/>
    <w:rsid w:val="00DB54E5"/>
    <w:rsid w:val="00DC3825"/>
    <w:rsid w:val="00DE1F05"/>
    <w:rsid w:val="00DE6AFE"/>
    <w:rsid w:val="00DF015C"/>
    <w:rsid w:val="00E13947"/>
    <w:rsid w:val="00E13963"/>
    <w:rsid w:val="00E13B95"/>
    <w:rsid w:val="00E14B1B"/>
    <w:rsid w:val="00E26E6D"/>
    <w:rsid w:val="00E3113F"/>
    <w:rsid w:val="00E31F6C"/>
    <w:rsid w:val="00E43672"/>
    <w:rsid w:val="00E50563"/>
    <w:rsid w:val="00E5566E"/>
    <w:rsid w:val="00E62F4E"/>
    <w:rsid w:val="00E67735"/>
    <w:rsid w:val="00E72574"/>
    <w:rsid w:val="00EB4CC5"/>
    <w:rsid w:val="00EB51D8"/>
    <w:rsid w:val="00EC573E"/>
    <w:rsid w:val="00EC6FD1"/>
    <w:rsid w:val="00ED1E43"/>
    <w:rsid w:val="00ED270D"/>
    <w:rsid w:val="00EF3CAB"/>
    <w:rsid w:val="00EF43D4"/>
    <w:rsid w:val="00EF653C"/>
    <w:rsid w:val="00F023EA"/>
    <w:rsid w:val="00F21A25"/>
    <w:rsid w:val="00F238B8"/>
    <w:rsid w:val="00F3631E"/>
    <w:rsid w:val="00F525B5"/>
    <w:rsid w:val="00F67732"/>
    <w:rsid w:val="00F8374D"/>
    <w:rsid w:val="00F96930"/>
    <w:rsid w:val="00FA505D"/>
    <w:rsid w:val="00FA530F"/>
    <w:rsid w:val="00FB1932"/>
    <w:rsid w:val="00FB35D3"/>
    <w:rsid w:val="00FB6565"/>
    <w:rsid w:val="00FB6C91"/>
    <w:rsid w:val="00FC0035"/>
    <w:rsid w:val="00FC571C"/>
    <w:rsid w:val="00FE0D6C"/>
    <w:rsid w:val="00FE123E"/>
    <w:rsid w:val="00FE4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6632"/>
    <w:pPr>
      <w:ind w:left="720"/>
      <w:contextualSpacing/>
    </w:pPr>
  </w:style>
  <w:style w:type="character" w:styleId="Hyperlink">
    <w:name w:val="Hyperlink"/>
    <w:basedOn w:val="DefaultParagraphFont"/>
    <w:uiPriority w:val="99"/>
    <w:unhideWhenUsed/>
    <w:rsid w:val="009328D8"/>
    <w:rPr>
      <w:color w:val="0000FF" w:themeColor="hyperlink"/>
      <w:u w:val="single"/>
    </w:rPr>
  </w:style>
  <w:style w:type="paragraph" w:styleId="BodyText">
    <w:name w:val="Body Text"/>
    <w:basedOn w:val="Normal"/>
    <w:link w:val="BodyTextChar"/>
    <w:rsid w:val="00A42633"/>
    <w:pPr>
      <w:spacing w:after="0" w:line="24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rsid w:val="00A42633"/>
    <w:rPr>
      <w:rFonts w:ascii="Arial Mon" w:eastAsia="Times New Roman" w:hAnsi="Arial Mon" w:cs="Times New Roman"/>
      <w:sz w:val="24"/>
      <w:szCs w:val="24"/>
    </w:rPr>
  </w:style>
  <w:style w:type="paragraph" w:styleId="BodyTextIndent">
    <w:name w:val="Body Text Indent"/>
    <w:basedOn w:val="Normal"/>
    <w:link w:val="BodyTextIndentChar"/>
    <w:uiPriority w:val="99"/>
    <w:unhideWhenUsed/>
    <w:rsid w:val="00B814D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814DD"/>
    <w:rPr>
      <w:rFonts w:ascii="Calibri" w:eastAsia="Calibri" w:hAnsi="Calibri" w:cs="Times New Roman"/>
    </w:rPr>
  </w:style>
  <w:style w:type="paragraph" w:styleId="NormalWeb">
    <w:name w:val="Normal (Web)"/>
    <w:basedOn w:val="Normal"/>
    <w:uiPriority w:val="99"/>
    <w:unhideWhenUsed/>
    <w:rsid w:val="00D359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62"/>
    <w:rPr>
      <w:rFonts w:ascii="Tahoma" w:hAnsi="Tahoma" w:cs="Tahoma"/>
      <w:sz w:val="16"/>
      <w:szCs w:val="16"/>
    </w:rPr>
  </w:style>
  <w:style w:type="character" w:customStyle="1" w:styleId="ListParagraphChar">
    <w:name w:val="List Paragraph Char"/>
    <w:basedOn w:val="DefaultParagraphFont"/>
    <w:link w:val="ListParagraph"/>
    <w:uiPriority w:val="34"/>
    <w:locked/>
    <w:rsid w:val="00387C39"/>
  </w:style>
  <w:style w:type="paragraph" w:customStyle="1" w:styleId="normal0">
    <w:name w:val="normal"/>
    <w:basedOn w:val="Normal"/>
    <w:rsid w:val="000F1609"/>
    <w:pPr>
      <w:spacing w:line="260" w:lineRule="atLeast"/>
    </w:pPr>
    <w:rPr>
      <w:rFonts w:ascii="Calibri" w:eastAsia="Times New Roman" w:hAnsi="Calibri" w:cs="Calibri"/>
    </w:rPr>
  </w:style>
  <w:style w:type="character" w:customStyle="1" w:styleId="normalchar1">
    <w:name w:val="normal__char1"/>
    <w:basedOn w:val="DefaultParagraphFont"/>
    <w:rsid w:val="000F1609"/>
    <w:rPr>
      <w:rFonts w:ascii="Calibri" w:hAnsi="Calibri" w:cs="Calibri" w:hint="default"/>
      <w:sz w:val="22"/>
      <w:szCs w:val="22"/>
    </w:rPr>
  </w:style>
  <w:style w:type="paragraph" w:customStyle="1" w:styleId="table0020grid1">
    <w:name w:val="table_0020grid1"/>
    <w:basedOn w:val="Normal"/>
    <w:rsid w:val="000F1609"/>
    <w:pPr>
      <w:spacing w:after="0" w:line="240" w:lineRule="atLeast"/>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0F1609"/>
  </w:style>
  <w:style w:type="paragraph" w:customStyle="1" w:styleId="subtitle1">
    <w:name w:val="subtitle1"/>
    <w:basedOn w:val="Normal"/>
    <w:rsid w:val="000F1609"/>
    <w:pPr>
      <w:spacing w:line="260" w:lineRule="atLeast"/>
    </w:pPr>
    <w:rPr>
      <w:rFonts w:ascii="Cambria" w:eastAsia="Times New Roman" w:hAnsi="Cambria" w:cs="Times New Roman"/>
      <w:i/>
      <w:iCs/>
      <w:color w:val="4F81BD"/>
      <w:sz w:val="24"/>
      <w:szCs w:val="24"/>
    </w:rPr>
  </w:style>
  <w:style w:type="character" w:customStyle="1" w:styleId="subtitlechar1">
    <w:name w:val="subtitle__char1"/>
    <w:basedOn w:val="DefaultParagraphFont"/>
    <w:rsid w:val="000F1609"/>
    <w:rPr>
      <w:rFonts w:ascii="Cambria" w:hAnsi="Cambria" w:hint="default"/>
      <w:i/>
      <w:iCs/>
      <w:color w:val="4F81BD"/>
      <w:spacing w:val="0"/>
      <w:sz w:val="24"/>
      <w:szCs w:val="24"/>
    </w:rPr>
  </w:style>
  <w:style w:type="paragraph" w:customStyle="1" w:styleId="no0020spacing1">
    <w:name w:val="no_0020spacing1"/>
    <w:basedOn w:val="Normal"/>
    <w:rsid w:val="000F1609"/>
    <w:pPr>
      <w:spacing w:after="0" w:line="240" w:lineRule="atLeast"/>
    </w:pPr>
    <w:rPr>
      <w:rFonts w:ascii="Times New Roman" w:eastAsia="Times New Roman" w:hAnsi="Times New Roman" w:cs="Times New Roman"/>
      <w:sz w:val="24"/>
      <w:szCs w:val="24"/>
    </w:rPr>
  </w:style>
  <w:style w:type="character" w:customStyle="1" w:styleId="no0020spacingchar1">
    <w:name w:val="no_0020spacing__char1"/>
    <w:basedOn w:val="DefaultParagraphFont"/>
    <w:rsid w:val="000F1609"/>
    <w:rPr>
      <w:rFonts w:ascii="Times New Roman" w:hAnsi="Times New Roman" w:cs="Times New Roman" w:hint="default"/>
      <w:sz w:val="24"/>
      <w:szCs w:val="24"/>
    </w:rPr>
  </w:style>
  <w:style w:type="paragraph" w:styleId="FootnoteText">
    <w:name w:val="footnote text"/>
    <w:basedOn w:val="Normal"/>
    <w:link w:val="FootnoteTextChar"/>
    <w:semiHidden/>
    <w:rsid w:val="00845B66"/>
    <w:pPr>
      <w:autoSpaceDE w:val="0"/>
      <w:autoSpaceDN w:val="0"/>
      <w:spacing w:after="0" w:line="240" w:lineRule="auto"/>
    </w:pPr>
    <w:rPr>
      <w:rFonts w:ascii="Arial Mon" w:eastAsia="Times New Roman" w:hAnsi="Arial Mon" w:cs="Times New Roman"/>
      <w:noProof/>
      <w:sz w:val="18"/>
      <w:szCs w:val="18"/>
    </w:rPr>
  </w:style>
  <w:style w:type="character" w:customStyle="1" w:styleId="FootnoteTextChar">
    <w:name w:val="Footnote Text Char"/>
    <w:basedOn w:val="DefaultParagraphFont"/>
    <w:link w:val="FootnoteText"/>
    <w:semiHidden/>
    <w:rsid w:val="00845B66"/>
    <w:rPr>
      <w:rFonts w:ascii="Arial Mon" w:eastAsia="Times New Roman" w:hAnsi="Arial Mon"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123425">
      <w:bodyDiv w:val="1"/>
      <w:marLeft w:val="0"/>
      <w:marRight w:val="0"/>
      <w:marTop w:val="0"/>
      <w:marBottom w:val="0"/>
      <w:divBdr>
        <w:top w:val="none" w:sz="0" w:space="0" w:color="auto"/>
        <w:left w:val="none" w:sz="0" w:space="0" w:color="auto"/>
        <w:bottom w:val="none" w:sz="0" w:space="0" w:color="auto"/>
        <w:right w:val="none" w:sz="0" w:space="0" w:color="auto"/>
      </w:divBdr>
    </w:div>
    <w:div w:id="524490650">
      <w:bodyDiv w:val="1"/>
      <w:marLeft w:val="560"/>
      <w:marRight w:val="520"/>
      <w:marTop w:val="1120"/>
      <w:marBottom w:val="780"/>
      <w:divBdr>
        <w:top w:val="none" w:sz="0" w:space="0" w:color="auto"/>
        <w:left w:val="none" w:sz="0" w:space="0" w:color="auto"/>
        <w:bottom w:val="none" w:sz="0" w:space="0" w:color="auto"/>
        <w:right w:val="none" w:sz="0" w:space="0" w:color="auto"/>
      </w:divBdr>
    </w:div>
    <w:div w:id="653413559">
      <w:bodyDiv w:val="1"/>
      <w:marLeft w:val="0"/>
      <w:marRight w:val="0"/>
      <w:marTop w:val="0"/>
      <w:marBottom w:val="0"/>
      <w:divBdr>
        <w:top w:val="none" w:sz="0" w:space="0" w:color="auto"/>
        <w:left w:val="none" w:sz="0" w:space="0" w:color="auto"/>
        <w:bottom w:val="none" w:sz="0" w:space="0" w:color="auto"/>
        <w:right w:val="none" w:sz="0" w:space="0" w:color="auto"/>
      </w:divBdr>
    </w:div>
    <w:div w:id="850216553">
      <w:bodyDiv w:val="1"/>
      <w:marLeft w:val="0"/>
      <w:marRight w:val="0"/>
      <w:marTop w:val="0"/>
      <w:marBottom w:val="0"/>
      <w:divBdr>
        <w:top w:val="none" w:sz="0" w:space="0" w:color="auto"/>
        <w:left w:val="none" w:sz="0" w:space="0" w:color="auto"/>
        <w:bottom w:val="none" w:sz="0" w:space="0" w:color="auto"/>
        <w:right w:val="none" w:sz="0" w:space="0" w:color="auto"/>
      </w:divBdr>
    </w:div>
    <w:div w:id="1190728585">
      <w:bodyDiv w:val="1"/>
      <w:marLeft w:val="0"/>
      <w:marRight w:val="0"/>
      <w:marTop w:val="0"/>
      <w:marBottom w:val="0"/>
      <w:divBdr>
        <w:top w:val="none" w:sz="0" w:space="0" w:color="auto"/>
        <w:left w:val="none" w:sz="0" w:space="0" w:color="auto"/>
        <w:bottom w:val="none" w:sz="0" w:space="0" w:color="auto"/>
        <w:right w:val="none" w:sz="0" w:space="0" w:color="auto"/>
      </w:divBdr>
    </w:div>
    <w:div w:id="1231887438">
      <w:bodyDiv w:val="1"/>
      <w:marLeft w:val="0"/>
      <w:marRight w:val="0"/>
      <w:marTop w:val="0"/>
      <w:marBottom w:val="0"/>
      <w:divBdr>
        <w:top w:val="none" w:sz="0" w:space="0" w:color="auto"/>
        <w:left w:val="none" w:sz="0" w:space="0" w:color="auto"/>
        <w:bottom w:val="none" w:sz="0" w:space="0" w:color="auto"/>
        <w:right w:val="none" w:sz="0" w:space="0" w:color="auto"/>
      </w:divBdr>
      <w:divsChild>
        <w:div w:id="1060328319">
          <w:marLeft w:val="0"/>
          <w:marRight w:val="0"/>
          <w:marTop w:val="0"/>
          <w:marBottom w:val="0"/>
          <w:divBdr>
            <w:top w:val="none" w:sz="0" w:space="0" w:color="auto"/>
            <w:left w:val="none" w:sz="0" w:space="0" w:color="auto"/>
            <w:bottom w:val="none" w:sz="0" w:space="0" w:color="auto"/>
            <w:right w:val="none" w:sz="0" w:space="0" w:color="auto"/>
          </w:divBdr>
          <w:divsChild>
            <w:div w:id="1856534134">
              <w:marLeft w:val="0"/>
              <w:marRight w:val="0"/>
              <w:marTop w:val="0"/>
              <w:marBottom w:val="0"/>
              <w:divBdr>
                <w:top w:val="none" w:sz="0" w:space="0" w:color="auto"/>
                <w:left w:val="none" w:sz="0" w:space="0" w:color="auto"/>
                <w:bottom w:val="none" w:sz="0" w:space="0" w:color="auto"/>
                <w:right w:val="none" w:sz="0" w:space="0" w:color="auto"/>
              </w:divBdr>
              <w:divsChild>
                <w:div w:id="1481924591">
                  <w:marLeft w:val="0"/>
                  <w:marRight w:val="0"/>
                  <w:marTop w:val="0"/>
                  <w:marBottom w:val="0"/>
                  <w:divBdr>
                    <w:top w:val="none" w:sz="0" w:space="0" w:color="auto"/>
                    <w:left w:val="none" w:sz="0" w:space="0" w:color="auto"/>
                    <w:bottom w:val="none" w:sz="0" w:space="0" w:color="auto"/>
                    <w:right w:val="none" w:sz="0" w:space="0" w:color="auto"/>
                  </w:divBdr>
                  <w:divsChild>
                    <w:div w:id="1269659131">
                      <w:marLeft w:val="0"/>
                      <w:marRight w:val="0"/>
                      <w:marTop w:val="0"/>
                      <w:marBottom w:val="0"/>
                      <w:divBdr>
                        <w:top w:val="none" w:sz="0" w:space="0" w:color="auto"/>
                        <w:left w:val="none" w:sz="0" w:space="0" w:color="auto"/>
                        <w:bottom w:val="none" w:sz="0" w:space="0" w:color="auto"/>
                        <w:right w:val="none" w:sz="0" w:space="0" w:color="auto"/>
                      </w:divBdr>
                      <w:divsChild>
                        <w:div w:id="322052981">
                          <w:marLeft w:val="0"/>
                          <w:marRight w:val="0"/>
                          <w:marTop w:val="0"/>
                          <w:marBottom w:val="0"/>
                          <w:divBdr>
                            <w:top w:val="none" w:sz="0" w:space="0" w:color="auto"/>
                            <w:left w:val="none" w:sz="0" w:space="0" w:color="auto"/>
                            <w:bottom w:val="none" w:sz="0" w:space="0" w:color="auto"/>
                            <w:right w:val="none" w:sz="0" w:space="0" w:color="auto"/>
                          </w:divBdr>
                          <w:divsChild>
                            <w:div w:id="910239257">
                              <w:marLeft w:val="0"/>
                              <w:marRight w:val="0"/>
                              <w:marTop w:val="0"/>
                              <w:marBottom w:val="0"/>
                              <w:divBdr>
                                <w:top w:val="none" w:sz="0" w:space="0" w:color="auto"/>
                                <w:left w:val="none" w:sz="0" w:space="0" w:color="auto"/>
                                <w:bottom w:val="none" w:sz="0" w:space="0" w:color="auto"/>
                                <w:right w:val="none" w:sz="0" w:space="0" w:color="auto"/>
                              </w:divBdr>
                              <w:divsChild>
                                <w:div w:id="310795632">
                                  <w:marLeft w:val="0"/>
                                  <w:marRight w:val="0"/>
                                  <w:marTop w:val="0"/>
                                  <w:marBottom w:val="0"/>
                                  <w:divBdr>
                                    <w:top w:val="none" w:sz="0" w:space="0" w:color="auto"/>
                                    <w:left w:val="none" w:sz="0" w:space="0" w:color="auto"/>
                                    <w:bottom w:val="none" w:sz="0" w:space="0" w:color="auto"/>
                                    <w:right w:val="none" w:sz="0" w:space="0" w:color="auto"/>
                                  </w:divBdr>
                                  <w:divsChild>
                                    <w:div w:id="15731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28129">
      <w:bodyDiv w:val="1"/>
      <w:marLeft w:val="0"/>
      <w:marRight w:val="0"/>
      <w:marTop w:val="0"/>
      <w:marBottom w:val="0"/>
      <w:divBdr>
        <w:top w:val="none" w:sz="0" w:space="0" w:color="auto"/>
        <w:left w:val="none" w:sz="0" w:space="0" w:color="auto"/>
        <w:bottom w:val="none" w:sz="0" w:space="0" w:color="auto"/>
        <w:right w:val="none" w:sz="0" w:space="0" w:color="auto"/>
      </w:divBdr>
    </w:div>
    <w:div w:id="1530413814">
      <w:bodyDiv w:val="1"/>
      <w:marLeft w:val="0"/>
      <w:marRight w:val="0"/>
      <w:marTop w:val="0"/>
      <w:marBottom w:val="0"/>
      <w:divBdr>
        <w:top w:val="none" w:sz="0" w:space="0" w:color="auto"/>
        <w:left w:val="none" w:sz="0" w:space="0" w:color="auto"/>
        <w:bottom w:val="none" w:sz="0" w:space="0" w:color="auto"/>
        <w:right w:val="none" w:sz="0" w:space="0" w:color="auto"/>
      </w:divBdr>
    </w:div>
    <w:div w:id="1604874289">
      <w:bodyDiv w:val="1"/>
      <w:marLeft w:val="0"/>
      <w:marRight w:val="0"/>
      <w:marTop w:val="0"/>
      <w:marBottom w:val="0"/>
      <w:divBdr>
        <w:top w:val="none" w:sz="0" w:space="0" w:color="auto"/>
        <w:left w:val="none" w:sz="0" w:space="0" w:color="auto"/>
        <w:bottom w:val="none" w:sz="0" w:space="0" w:color="auto"/>
        <w:right w:val="none" w:sz="0" w:space="0" w:color="auto"/>
      </w:divBdr>
    </w:div>
    <w:div w:id="1943800418">
      <w:bodyDiv w:val="1"/>
      <w:marLeft w:val="0"/>
      <w:marRight w:val="0"/>
      <w:marTop w:val="0"/>
      <w:marBottom w:val="0"/>
      <w:divBdr>
        <w:top w:val="none" w:sz="0" w:space="0" w:color="auto"/>
        <w:left w:val="none" w:sz="0" w:space="0" w:color="auto"/>
        <w:bottom w:val="none" w:sz="0" w:space="0" w:color="auto"/>
        <w:right w:val="none" w:sz="0" w:space="0" w:color="auto"/>
      </w:divBdr>
    </w:div>
    <w:div w:id="2069301061">
      <w:bodyDiv w:val="1"/>
      <w:marLeft w:val="0"/>
      <w:marRight w:val="0"/>
      <w:marTop w:val="0"/>
      <w:marBottom w:val="0"/>
      <w:divBdr>
        <w:top w:val="none" w:sz="0" w:space="0" w:color="auto"/>
        <w:left w:val="none" w:sz="0" w:space="0" w:color="auto"/>
        <w:bottom w:val="none" w:sz="0" w:space="0" w:color="auto"/>
        <w:right w:val="none" w:sz="0" w:space="0" w:color="auto"/>
      </w:divBdr>
    </w:div>
    <w:div w:id="20921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gov.mn/media/ILTODBAIDAL/tusuvsanhuu/Shalgalt_2015.docx" TargetMode="External"/><Relationship Id="rId5" Type="http://schemas.openxmlformats.org/officeDocument/2006/relationships/webSettings" Target="webSettings.xml"/><Relationship Id="rId44"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BF10-8221-4E07-A4EF-2C0C873E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munkhbat.o</dc:creator>
  <cp:lastModifiedBy>user</cp:lastModifiedBy>
  <cp:revision>3</cp:revision>
  <cp:lastPrinted>2015-08-22T03:48:00Z</cp:lastPrinted>
  <dcterms:created xsi:type="dcterms:W3CDTF">2015-12-09T14:04:00Z</dcterms:created>
  <dcterms:modified xsi:type="dcterms:W3CDTF">2015-12-09T14:05:00Z</dcterms:modified>
</cp:coreProperties>
</file>